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C62C" w14:textId="06337369" w:rsidR="008F2F69" w:rsidRDefault="008F2F69" w:rsidP="00E3542E">
      <w:pPr>
        <w:pStyle w:val="Heading2"/>
        <w:rPr>
          <w:sz w:val="28"/>
          <w:szCs w:val="28"/>
        </w:rPr>
      </w:pPr>
      <w:bookmarkStart w:id="0" w:name="_Toc402441568"/>
      <w:r>
        <w:rPr>
          <w:sz w:val="28"/>
          <w:szCs w:val="28"/>
        </w:rPr>
        <w:t>Puur-lõhketööd</w:t>
      </w:r>
    </w:p>
    <w:p w14:paraId="4BDAACEE" w14:textId="1F28FD74" w:rsidR="00817942" w:rsidRDefault="00817942" w:rsidP="00817942"/>
    <w:p w14:paraId="757D6923" w14:textId="5DEF1829" w:rsidR="001B7FF3" w:rsidRDefault="001B7FF3" w:rsidP="001B7FF3">
      <w:pPr>
        <w:jc w:val="both"/>
      </w:pPr>
      <w:r>
        <w:t xml:space="preserve">Puurimisel ja lõhkamisel eralduvate saasteainete heitkoguste leidmiseks puudub ühtne eestisisene metoodika. Seetõttu on kasutatud </w:t>
      </w:r>
      <w:r>
        <w:rPr>
          <w:rFonts w:eastAsia="Times New Roman" w:cs="Times New Roman"/>
          <w:szCs w:val="20"/>
        </w:rPr>
        <w:t>Ameerika Ühendriikide keskkonnakaitse agentuuri (</w:t>
      </w:r>
      <w:r w:rsidRPr="00152458">
        <w:rPr>
          <w:rFonts w:eastAsia="Times New Roman" w:cs="Times New Roman"/>
          <w:i/>
          <w:iCs/>
          <w:szCs w:val="20"/>
        </w:rPr>
        <w:t>United States Environmental Protection Agency</w:t>
      </w:r>
      <w:r>
        <w:rPr>
          <w:rFonts w:eastAsia="Times New Roman" w:cs="Times New Roman"/>
          <w:szCs w:val="20"/>
        </w:rPr>
        <w:t xml:space="preserve">) välja töötatud metoodikat </w:t>
      </w:r>
      <w:r>
        <w:t>(</w:t>
      </w:r>
      <w:r w:rsidRPr="009F3DA3">
        <w:rPr>
          <w:i/>
          <w:iCs/>
        </w:rPr>
        <w:t xml:space="preserve">AP, Fifth Edition Compilation of Air Pollutant Emission Factors, Volume </w:t>
      </w:r>
      <w:r>
        <w:rPr>
          <w:i/>
          <w:iCs/>
        </w:rPr>
        <w:t>1</w:t>
      </w:r>
      <w:r w:rsidRPr="009F3DA3">
        <w:rPr>
          <w:i/>
          <w:iCs/>
        </w:rPr>
        <w:t>: Stationary Point and Area Sources. 1</w:t>
      </w:r>
      <w:r>
        <w:rPr>
          <w:i/>
          <w:iCs/>
        </w:rPr>
        <w:t>1</w:t>
      </w:r>
      <w:r w:rsidRPr="009F3DA3">
        <w:rPr>
          <w:i/>
          <w:iCs/>
        </w:rPr>
        <w:t>.</w:t>
      </w:r>
      <w:r>
        <w:rPr>
          <w:i/>
          <w:iCs/>
        </w:rPr>
        <w:t>9</w:t>
      </w:r>
      <w:r w:rsidRPr="009F3DA3">
        <w:rPr>
          <w:i/>
          <w:iCs/>
        </w:rPr>
        <w:t xml:space="preserve">. </w:t>
      </w:r>
      <w:r>
        <w:rPr>
          <w:i/>
          <w:iCs/>
        </w:rPr>
        <w:t>Western Surface Coal Mining</w:t>
      </w:r>
      <w:r w:rsidRPr="008F44E1">
        <w:t>)</w:t>
      </w:r>
      <w:r>
        <w:t xml:space="preserve"> ning Kanada k</w:t>
      </w:r>
      <w:r w:rsidRPr="009503A2">
        <w:t>eskkonnaameti (</w:t>
      </w:r>
      <w:r w:rsidRPr="0008189D">
        <w:rPr>
          <w:i/>
          <w:iCs/>
        </w:rPr>
        <w:t>Environment Canada</w:t>
      </w:r>
      <w:r w:rsidRPr="009503A2">
        <w:t xml:space="preserve">) </w:t>
      </w:r>
      <w:r>
        <w:t>täiendatud</w:t>
      </w:r>
      <w:r w:rsidRPr="009503A2">
        <w:t xml:space="preserve"> metoodikat </w:t>
      </w:r>
      <w:r>
        <w:t>(</w:t>
      </w:r>
      <w:r w:rsidRPr="00826DCE">
        <w:rPr>
          <w:i/>
          <w:iCs/>
        </w:rPr>
        <w:t>Pits and Quarries Guidance</w:t>
      </w:r>
      <w:r>
        <w:t>).</w:t>
      </w:r>
    </w:p>
    <w:p w14:paraId="387EBD54" w14:textId="77777777" w:rsidR="0043032B" w:rsidRDefault="0043032B" w:rsidP="001B7FF3">
      <w:pPr>
        <w:jc w:val="both"/>
      </w:pPr>
    </w:p>
    <w:p w14:paraId="3DAAD661" w14:textId="1A45661E" w:rsidR="0043032B" w:rsidRPr="0072108F" w:rsidRDefault="0043032B" w:rsidP="0043032B">
      <w:pPr>
        <w:pStyle w:val="Heading3"/>
      </w:pPr>
      <w:r w:rsidRPr="0072108F">
        <w:t>Puurtööd</w:t>
      </w:r>
      <w:r w:rsidR="00663437">
        <w:t xml:space="preserve"> - heiteallikas </w:t>
      </w:r>
      <w:r w:rsidR="00F115D2">
        <w:t xml:space="preserve">nr </w:t>
      </w:r>
      <w:r w:rsidR="00663437">
        <w:t>1</w:t>
      </w:r>
    </w:p>
    <w:p w14:paraId="15672884" w14:textId="77777777" w:rsidR="004F76A5" w:rsidRDefault="00567270" w:rsidP="008D5A5C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Maavara kobestamine toimub puur-lõhketöödega</w:t>
      </w:r>
      <w:r w:rsidR="00106C68">
        <w:rPr>
          <w:rFonts w:eastAsia="Times New Roman" w:cs="Times New Roman"/>
          <w:szCs w:val="20"/>
        </w:rPr>
        <w:t xml:space="preserve"> kuni </w:t>
      </w:r>
      <w:r w:rsidR="00460B5B">
        <w:rPr>
          <w:rFonts w:eastAsia="Times New Roman" w:cs="Times New Roman"/>
          <w:szCs w:val="20"/>
        </w:rPr>
        <w:t>85 000</w:t>
      </w:r>
      <w:r w:rsidR="00106C68">
        <w:rPr>
          <w:rFonts w:eastAsia="Times New Roman" w:cs="Times New Roman"/>
          <w:szCs w:val="20"/>
        </w:rPr>
        <w:t xml:space="preserve"> m</w:t>
      </w:r>
      <w:r w:rsidR="00106C68" w:rsidRPr="00106C68">
        <w:rPr>
          <w:rFonts w:eastAsia="Times New Roman" w:cs="Times New Roman"/>
          <w:szCs w:val="20"/>
          <w:vertAlign w:val="superscript"/>
        </w:rPr>
        <w:t>3</w:t>
      </w:r>
      <w:r w:rsidR="00106C68">
        <w:rPr>
          <w:rFonts w:eastAsia="Times New Roman" w:cs="Times New Roman"/>
          <w:szCs w:val="20"/>
        </w:rPr>
        <w:t xml:space="preserve"> </w:t>
      </w:r>
      <w:r w:rsidR="00C13EE7">
        <w:rPr>
          <w:rFonts w:eastAsia="Times New Roman" w:cs="Times New Roman"/>
          <w:szCs w:val="20"/>
        </w:rPr>
        <w:t xml:space="preserve">maavara varu </w:t>
      </w:r>
      <w:r w:rsidR="00106C68">
        <w:rPr>
          <w:rFonts w:eastAsia="Times New Roman" w:cs="Times New Roman"/>
          <w:szCs w:val="20"/>
        </w:rPr>
        <w:t>ulatuses aastas.</w:t>
      </w:r>
      <w:r w:rsidR="00AE40E6">
        <w:rPr>
          <w:rFonts w:eastAsia="Times New Roman" w:cs="Times New Roman"/>
          <w:szCs w:val="20"/>
        </w:rPr>
        <w:t xml:space="preserve"> </w:t>
      </w:r>
      <w:r w:rsidR="009A5A84">
        <w:rPr>
          <w:rFonts w:eastAsia="Times New Roman" w:cs="Times New Roman"/>
          <w:szCs w:val="20"/>
        </w:rPr>
        <w:t>Taotluse õhusaaste eriosas on arvestatud ettevõttepoolse maksimaalse aastase kaevandamismahu</w:t>
      </w:r>
      <w:r w:rsidR="00F5341E">
        <w:rPr>
          <w:rFonts w:eastAsia="Times New Roman" w:cs="Times New Roman"/>
          <w:szCs w:val="20"/>
        </w:rPr>
        <w:t xml:space="preserve">ga, mis on suurem kaevandamise eriosas märgitud keskmisest aastasest kaevandamise mahust. </w:t>
      </w:r>
    </w:p>
    <w:p w14:paraId="156213C4" w14:textId="77777777" w:rsidR="004F76A5" w:rsidRDefault="004F76A5" w:rsidP="008D5A5C">
      <w:pPr>
        <w:jc w:val="both"/>
        <w:rPr>
          <w:rFonts w:eastAsia="Times New Roman" w:cs="Times New Roman"/>
          <w:szCs w:val="20"/>
        </w:rPr>
      </w:pPr>
    </w:p>
    <w:p w14:paraId="5A6A6EA3" w14:textId="3189FAAA" w:rsidR="008D5A5C" w:rsidRDefault="00AE40E6" w:rsidP="008D5A5C">
      <w:pPr>
        <w:jc w:val="both"/>
      </w:pPr>
      <w:r>
        <w:t xml:space="preserve">Puurimistöid teostatakse </w:t>
      </w:r>
      <w:r w:rsidR="004D1902">
        <w:t xml:space="preserve">standardse </w:t>
      </w:r>
      <w:r>
        <w:t>puurmasinaga</w:t>
      </w:r>
      <w:r w:rsidR="004D1902">
        <w:t xml:space="preserve">, </w:t>
      </w:r>
      <w:r>
        <w:t>mis on varustatud 12 filtrist koosneva püüdesüsteemiga</w:t>
      </w:r>
      <w:r w:rsidR="006C14B7">
        <w:t>, mille</w:t>
      </w:r>
      <w:r>
        <w:t xml:space="preserve"> püüdeefektiivsus</w:t>
      </w:r>
      <w:r w:rsidR="006C14B7">
        <w:t xml:space="preserve"> on</w:t>
      </w:r>
      <w:r>
        <w:t xml:space="preserve"> 99,5%.</w:t>
      </w:r>
      <w:r w:rsidR="00525019">
        <w:t xml:space="preserve"> Puurimisel tekkiv tolm püütakse seega enamuses kinni ning </w:t>
      </w:r>
      <w:r w:rsidR="006C14B7">
        <w:t>õhku eralduvad</w:t>
      </w:r>
      <w:r w:rsidR="002557CB">
        <w:t xml:space="preserve"> </w:t>
      </w:r>
      <w:r w:rsidR="002C00D0">
        <w:t>heitkogused on marginaalsed.</w:t>
      </w:r>
      <w:r w:rsidR="008D5A5C" w:rsidRPr="008D5A5C">
        <w:t xml:space="preserve"> </w:t>
      </w:r>
      <w:r w:rsidR="008D5A5C">
        <w:t>Eeltoodud metoodika kohaselt on puurimise eriheitmed tahketele osakestele järgmised:</w:t>
      </w:r>
    </w:p>
    <w:p w14:paraId="47A37AB7" w14:textId="77777777" w:rsidR="008D5A5C" w:rsidRDefault="008D5A5C" w:rsidP="008D5A5C">
      <w:pPr>
        <w:jc w:val="both"/>
      </w:pPr>
    </w:p>
    <w:p w14:paraId="40235734" w14:textId="77777777" w:rsidR="008D5A5C" w:rsidRDefault="008D5A5C" w:rsidP="008D5A5C">
      <w:pPr>
        <w:pStyle w:val="ListParagraph"/>
        <w:numPr>
          <w:ilvl w:val="0"/>
          <w:numId w:val="4"/>
        </w:numPr>
        <w:jc w:val="both"/>
      </w:pPr>
      <w:r>
        <w:t>PM-sum = 0,59 kg/puurauk;</w:t>
      </w:r>
    </w:p>
    <w:p w14:paraId="26D546A0" w14:textId="77777777" w:rsidR="008D5A5C" w:rsidRDefault="008D5A5C" w:rsidP="008D5A5C">
      <w:pPr>
        <w:pStyle w:val="ListParagraph"/>
        <w:numPr>
          <w:ilvl w:val="0"/>
          <w:numId w:val="4"/>
        </w:numPr>
        <w:jc w:val="both"/>
      </w:pPr>
      <w:r>
        <w:t>PM</w:t>
      </w:r>
      <w:r w:rsidRPr="00B40302">
        <w:rPr>
          <w:vertAlign w:val="subscript"/>
        </w:rPr>
        <w:t>10</w:t>
      </w:r>
      <w:r>
        <w:t xml:space="preserve"> = 0,31 kg/puurauk;</w:t>
      </w:r>
    </w:p>
    <w:p w14:paraId="5F032EB5" w14:textId="77777777" w:rsidR="008D5A5C" w:rsidRDefault="008D5A5C" w:rsidP="008D5A5C">
      <w:pPr>
        <w:pStyle w:val="ListParagraph"/>
        <w:numPr>
          <w:ilvl w:val="0"/>
          <w:numId w:val="4"/>
        </w:numPr>
        <w:jc w:val="both"/>
      </w:pPr>
      <w:r>
        <w:t>PM</w:t>
      </w:r>
      <w:r w:rsidRPr="007A04B2">
        <w:rPr>
          <w:vertAlign w:val="subscript"/>
        </w:rPr>
        <w:t>2,5</w:t>
      </w:r>
      <w:r>
        <w:t xml:space="preserve"> = 0,31 kg/puurauk.</w:t>
      </w:r>
    </w:p>
    <w:p w14:paraId="5E0866DB" w14:textId="5C81F697" w:rsidR="00700135" w:rsidRDefault="00700135" w:rsidP="008F2F69">
      <w:pPr>
        <w:rPr>
          <w:rFonts w:eastAsia="Times New Roman" w:cs="Times New Roman"/>
          <w:szCs w:val="20"/>
        </w:rPr>
      </w:pPr>
    </w:p>
    <w:p w14:paraId="674F35B7" w14:textId="1CD9DDE4" w:rsidR="004A5339" w:rsidRDefault="00DD7FD7" w:rsidP="004A5339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</w:t>
      </w:r>
      <w:r w:rsidR="004A5339">
        <w:rPr>
          <w:rFonts w:eastAsia="Times New Roman" w:cs="Times New Roman"/>
          <w:szCs w:val="20"/>
        </w:rPr>
        <w:t xml:space="preserve">uurimisega eralduvate tahkete osakeste aastase heitkoguste leidmiseks on vajalik teada puuritavate aukude arvu. </w:t>
      </w:r>
      <w:r>
        <w:rPr>
          <w:rFonts w:eastAsia="Times New Roman" w:cs="Times New Roman"/>
          <w:szCs w:val="20"/>
        </w:rPr>
        <w:t>Arvestuslikult lõhatakse</w:t>
      </w:r>
      <w:r w:rsidR="00537C36">
        <w:rPr>
          <w:rFonts w:eastAsia="Times New Roman" w:cs="Times New Roman"/>
          <w:szCs w:val="20"/>
        </w:rPr>
        <w:t xml:space="preserve"> keskmise</w:t>
      </w:r>
      <w:r>
        <w:rPr>
          <w:rFonts w:eastAsia="Times New Roman" w:cs="Times New Roman"/>
          <w:szCs w:val="20"/>
        </w:rPr>
        <w:t xml:space="preserve"> </w:t>
      </w:r>
      <w:r w:rsidR="00A41AEC">
        <w:rPr>
          <w:rFonts w:eastAsia="Times New Roman" w:cs="Times New Roman"/>
          <w:szCs w:val="20"/>
        </w:rPr>
        <w:t>~</w:t>
      </w:r>
      <w:r w:rsidR="00C84C64">
        <w:rPr>
          <w:rFonts w:eastAsia="Times New Roman" w:cs="Times New Roman"/>
          <w:szCs w:val="20"/>
        </w:rPr>
        <w:t>8,1</w:t>
      </w:r>
      <w:r w:rsidR="00A41AEC">
        <w:rPr>
          <w:rFonts w:eastAsia="Times New Roman" w:cs="Times New Roman"/>
          <w:szCs w:val="20"/>
        </w:rPr>
        <w:t xml:space="preserve"> m kõrguse </w:t>
      </w:r>
      <w:r w:rsidR="00537C36">
        <w:rPr>
          <w:rFonts w:eastAsia="Times New Roman" w:cs="Times New Roman"/>
          <w:szCs w:val="20"/>
        </w:rPr>
        <w:t>lubja</w:t>
      </w:r>
      <w:r w:rsidR="00A41AEC">
        <w:rPr>
          <w:rFonts w:eastAsia="Times New Roman" w:cs="Times New Roman"/>
          <w:szCs w:val="20"/>
        </w:rPr>
        <w:t xml:space="preserve">kiviastangu </w:t>
      </w:r>
      <w:r w:rsidR="00BE3442">
        <w:rPr>
          <w:rFonts w:eastAsia="Times New Roman" w:cs="Times New Roman"/>
          <w:szCs w:val="20"/>
        </w:rPr>
        <w:t xml:space="preserve">puhul </w:t>
      </w:r>
      <w:r>
        <w:rPr>
          <w:rFonts w:eastAsia="Times New Roman" w:cs="Times New Roman"/>
          <w:szCs w:val="20"/>
        </w:rPr>
        <w:t>k</w:t>
      </w:r>
      <w:r w:rsidR="004A5339">
        <w:rPr>
          <w:rFonts w:eastAsia="Times New Roman" w:cs="Times New Roman"/>
          <w:szCs w:val="20"/>
        </w:rPr>
        <w:t xml:space="preserve">orraga keskmiselt </w:t>
      </w:r>
      <w:r w:rsidR="00C84C64">
        <w:rPr>
          <w:rFonts w:eastAsia="Times New Roman" w:cs="Times New Roman"/>
          <w:szCs w:val="20"/>
        </w:rPr>
        <w:t>5 000</w:t>
      </w:r>
      <w:r w:rsidR="004A5339">
        <w:rPr>
          <w:rFonts w:eastAsia="Times New Roman" w:cs="Times New Roman"/>
          <w:szCs w:val="20"/>
        </w:rPr>
        <w:t xml:space="preserve"> m</w:t>
      </w:r>
      <w:r w:rsidR="004A5339" w:rsidRPr="00870A38">
        <w:rPr>
          <w:rFonts w:eastAsia="Times New Roman" w:cs="Times New Roman"/>
          <w:szCs w:val="20"/>
          <w:vertAlign w:val="superscript"/>
        </w:rPr>
        <w:t>3</w:t>
      </w:r>
      <w:r w:rsidR="004A5339">
        <w:rPr>
          <w:rFonts w:eastAsia="Times New Roman" w:cs="Times New Roman"/>
          <w:szCs w:val="20"/>
        </w:rPr>
        <w:t xml:space="preserve"> </w:t>
      </w:r>
      <w:r w:rsidR="007752D5">
        <w:rPr>
          <w:rFonts w:eastAsia="Times New Roman" w:cs="Times New Roman"/>
          <w:szCs w:val="20"/>
        </w:rPr>
        <w:t>lubja</w:t>
      </w:r>
      <w:r w:rsidR="004A5339">
        <w:rPr>
          <w:rFonts w:eastAsia="Times New Roman" w:cs="Times New Roman"/>
          <w:szCs w:val="20"/>
        </w:rPr>
        <w:t xml:space="preserve">kivi, mille tarbeks on vajalik puurida </w:t>
      </w:r>
      <w:r w:rsidR="00C84C64">
        <w:rPr>
          <w:rFonts w:eastAsia="Times New Roman" w:cs="Times New Roman"/>
          <w:szCs w:val="20"/>
        </w:rPr>
        <w:t>4</w:t>
      </w:r>
      <w:r w:rsidR="00653C45">
        <w:rPr>
          <w:rFonts w:eastAsia="Times New Roman" w:cs="Times New Roman"/>
          <w:szCs w:val="20"/>
        </w:rPr>
        <w:t>2</w:t>
      </w:r>
      <w:r w:rsidR="00D26A03">
        <w:rPr>
          <w:rFonts w:eastAsia="Times New Roman" w:cs="Times New Roman"/>
          <w:szCs w:val="20"/>
        </w:rPr>
        <w:t xml:space="preserve"> </w:t>
      </w:r>
      <w:r w:rsidR="004A5339">
        <w:rPr>
          <w:rFonts w:eastAsia="Times New Roman" w:cs="Times New Roman"/>
          <w:szCs w:val="20"/>
        </w:rPr>
        <w:t>auku. Aastase kaevandamise mahu lõhkamiseks tuleb seega puurida:</w:t>
      </w:r>
    </w:p>
    <w:p w14:paraId="078CB1EB" w14:textId="3B922C75" w:rsidR="004A5339" w:rsidRDefault="004A5339" w:rsidP="008F2F69">
      <w:pPr>
        <w:rPr>
          <w:rFonts w:eastAsia="Times New Roman" w:cs="Times New Roman"/>
          <w:szCs w:val="20"/>
        </w:rPr>
      </w:pPr>
    </w:p>
    <w:p w14:paraId="59CF9AB0" w14:textId="32A9C4C2" w:rsidR="003F2194" w:rsidRDefault="000F1CA5" w:rsidP="003F2194">
      <w:pPr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85 000</w:t>
      </w:r>
      <w:r w:rsidR="003F2194">
        <w:rPr>
          <w:rFonts w:eastAsia="Times New Roman" w:cs="Times New Roman"/>
          <w:szCs w:val="20"/>
        </w:rPr>
        <w:t xml:space="preserve"> m</w:t>
      </w:r>
      <w:r w:rsidR="003F2194" w:rsidRPr="0032511C">
        <w:rPr>
          <w:rFonts w:eastAsia="Times New Roman" w:cs="Times New Roman"/>
          <w:szCs w:val="20"/>
          <w:vertAlign w:val="superscript"/>
        </w:rPr>
        <w:t>3</w:t>
      </w:r>
      <w:r w:rsidR="003F2194">
        <w:rPr>
          <w:rFonts w:eastAsia="Times New Roman" w:cs="Times New Roman"/>
          <w:szCs w:val="20"/>
        </w:rPr>
        <w:t xml:space="preserve"> / </w:t>
      </w:r>
      <w:r>
        <w:rPr>
          <w:rFonts w:eastAsia="Times New Roman" w:cs="Times New Roman"/>
          <w:szCs w:val="20"/>
        </w:rPr>
        <w:t>5</w:t>
      </w:r>
      <w:r w:rsidR="003F2194">
        <w:rPr>
          <w:rFonts w:eastAsia="Times New Roman" w:cs="Times New Roman"/>
          <w:szCs w:val="20"/>
        </w:rPr>
        <w:t> </w:t>
      </w:r>
      <w:r w:rsidR="00AB22B0">
        <w:rPr>
          <w:rFonts w:eastAsia="Times New Roman" w:cs="Times New Roman"/>
          <w:szCs w:val="20"/>
        </w:rPr>
        <w:t>0</w:t>
      </w:r>
      <w:r w:rsidR="003F2194">
        <w:rPr>
          <w:rFonts w:eastAsia="Times New Roman" w:cs="Times New Roman"/>
          <w:szCs w:val="20"/>
        </w:rPr>
        <w:t>00 m</w:t>
      </w:r>
      <w:r w:rsidR="003F2194" w:rsidRPr="0032511C">
        <w:rPr>
          <w:rFonts w:eastAsia="Times New Roman" w:cs="Times New Roman"/>
          <w:szCs w:val="20"/>
          <w:vertAlign w:val="superscript"/>
        </w:rPr>
        <w:t>3</w:t>
      </w:r>
      <w:r w:rsidR="003F2194">
        <w:rPr>
          <w:rFonts w:eastAsia="Times New Roman" w:cs="Times New Roman"/>
          <w:szCs w:val="20"/>
        </w:rPr>
        <w:t xml:space="preserve"> </w:t>
      </w:r>
      <w:r w:rsidR="003F2194" w:rsidRPr="00581713">
        <w:rPr>
          <w:rFonts w:ascii="Arial" w:eastAsia="Times New Roman" w:hAnsi="Arial" w:cs="Arial"/>
          <w:sz w:val="20"/>
          <w:szCs w:val="16"/>
        </w:rPr>
        <w:t>x</w:t>
      </w:r>
      <w:r w:rsidR="003F2194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42</w:t>
      </w:r>
      <w:r w:rsidR="003F2194">
        <w:rPr>
          <w:rFonts w:eastAsia="Times New Roman" w:cs="Times New Roman"/>
          <w:szCs w:val="20"/>
        </w:rPr>
        <w:t xml:space="preserve"> = </w:t>
      </w:r>
      <w:r w:rsidR="004A7DB7">
        <w:rPr>
          <w:rFonts w:eastAsia="Times New Roman" w:cs="Times New Roman"/>
          <w:szCs w:val="20"/>
        </w:rPr>
        <w:t xml:space="preserve">714 </w:t>
      </w:r>
      <w:r w:rsidR="003F2194">
        <w:rPr>
          <w:rFonts w:eastAsia="Times New Roman" w:cs="Times New Roman"/>
          <w:szCs w:val="20"/>
        </w:rPr>
        <w:t>lõhke-puurauku.</w:t>
      </w:r>
    </w:p>
    <w:p w14:paraId="71C06529" w14:textId="7CF5BBDE" w:rsidR="004A5339" w:rsidRDefault="004A5339" w:rsidP="008F2F69">
      <w:pPr>
        <w:rPr>
          <w:rFonts w:eastAsia="Times New Roman" w:cs="Times New Roman"/>
          <w:szCs w:val="20"/>
        </w:rPr>
      </w:pPr>
    </w:p>
    <w:p w14:paraId="12F4ACA0" w14:textId="77777777" w:rsidR="00615E60" w:rsidRDefault="00615E60" w:rsidP="00615E60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Lähtudes eeltoodud tahkete osakeste eriheitmetest ning püüdesüsteemi efektiivsusest, oleksid aastased heitkogused järgmised:</w:t>
      </w:r>
    </w:p>
    <w:p w14:paraId="4F8F4420" w14:textId="77777777" w:rsidR="00615E60" w:rsidRDefault="00615E60" w:rsidP="00615E60">
      <w:pPr>
        <w:rPr>
          <w:rFonts w:eastAsia="Times New Roman" w:cs="Times New Roman"/>
          <w:szCs w:val="20"/>
        </w:rPr>
      </w:pPr>
    </w:p>
    <w:p w14:paraId="46355CD6" w14:textId="5E3C30BC" w:rsidR="00615E60" w:rsidRPr="00581713" w:rsidRDefault="00615E60" w:rsidP="00615E60">
      <w:pPr>
        <w:pStyle w:val="ListParagraph"/>
        <w:numPr>
          <w:ilvl w:val="0"/>
          <w:numId w:val="4"/>
        </w:num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PM-sum</w:t>
      </w:r>
      <w:r w:rsidRPr="00581713">
        <w:rPr>
          <w:rFonts w:eastAsia="Times New Roman" w:cs="Times New Roman"/>
          <w:szCs w:val="20"/>
        </w:rPr>
        <w:t xml:space="preserve"> = </w:t>
      </w:r>
      <w:r w:rsidR="008F3014">
        <w:rPr>
          <w:rFonts w:eastAsia="Times New Roman" w:cs="Times New Roman"/>
          <w:szCs w:val="20"/>
        </w:rPr>
        <w:t>714</w:t>
      </w:r>
      <w:r w:rsidRPr="00581713">
        <w:rPr>
          <w:rFonts w:eastAsia="Times New Roman" w:cs="Times New Roman"/>
          <w:szCs w:val="20"/>
        </w:rPr>
        <w:t xml:space="preserve"> </w:t>
      </w:r>
      <w:r w:rsidRPr="00581713">
        <w:rPr>
          <w:rFonts w:ascii="Arial" w:eastAsia="Times New Roman" w:hAnsi="Arial" w:cs="Arial"/>
          <w:sz w:val="20"/>
          <w:szCs w:val="16"/>
        </w:rPr>
        <w:t>x</w:t>
      </w:r>
      <w:r w:rsidRPr="005817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0,59 </w:t>
      </w:r>
      <w:r w:rsidRPr="00581713">
        <w:rPr>
          <w:rFonts w:eastAsia="Times New Roman" w:cs="Times New Roman"/>
          <w:szCs w:val="20"/>
        </w:rPr>
        <w:t xml:space="preserve">= </w:t>
      </w:r>
      <w:r w:rsidR="008F3014">
        <w:rPr>
          <w:rFonts w:eastAsia="Times New Roman" w:cs="Times New Roman"/>
          <w:szCs w:val="20"/>
        </w:rPr>
        <w:t>421</w:t>
      </w:r>
      <w:r w:rsidRPr="005817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k</w:t>
      </w:r>
      <w:r w:rsidRPr="00581713">
        <w:rPr>
          <w:rFonts w:eastAsia="Times New Roman" w:cs="Times New Roman"/>
          <w:szCs w:val="20"/>
        </w:rPr>
        <w:t>g</w:t>
      </w:r>
      <w:r>
        <w:rPr>
          <w:rFonts w:eastAsia="Times New Roman" w:cs="Times New Roman"/>
          <w:szCs w:val="20"/>
        </w:rPr>
        <w:t>/a</w:t>
      </w:r>
      <w:r w:rsidRPr="00581713">
        <w:rPr>
          <w:rFonts w:eastAsia="Times New Roman" w:cs="Times New Roman"/>
          <w:szCs w:val="20"/>
        </w:rPr>
        <w:t xml:space="preserve"> = </w:t>
      </w:r>
      <w:r w:rsidR="007175E2">
        <w:rPr>
          <w:rFonts w:eastAsia="Times New Roman" w:cs="Times New Roman"/>
          <w:szCs w:val="20"/>
        </w:rPr>
        <w:t>0,</w:t>
      </w:r>
      <w:r w:rsidR="004E6655">
        <w:rPr>
          <w:rFonts w:eastAsia="Times New Roman" w:cs="Times New Roman"/>
          <w:szCs w:val="20"/>
        </w:rPr>
        <w:t>421</w:t>
      </w:r>
      <w:r w:rsidRPr="00581713">
        <w:rPr>
          <w:rFonts w:eastAsia="Times New Roman" w:cs="Times New Roman"/>
          <w:szCs w:val="20"/>
        </w:rPr>
        <w:t xml:space="preserve"> t/a</w:t>
      </w:r>
      <w:r>
        <w:rPr>
          <w:rFonts w:eastAsia="Times New Roman" w:cs="Times New Roman"/>
          <w:szCs w:val="20"/>
        </w:rPr>
        <w:t>, millest õhku eraldub 0,0</w:t>
      </w:r>
      <w:r w:rsidR="007175E2">
        <w:rPr>
          <w:rFonts w:eastAsia="Times New Roman" w:cs="Times New Roman"/>
          <w:szCs w:val="20"/>
        </w:rPr>
        <w:t>0</w:t>
      </w:r>
      <w:r w:rsidR="004E6655">
        <w:rPr>
          <w:rFonts w:eastAsia="Times New Roman" w:cs="Times New Roman"/>
          <w:szCs w:val="20"/>
        </w:rPr>
        <w:t>2</w:t>
      </w:r>
      <w:r>
        <w:rPr>
          <w:rFonts w:eastAsia="Times New Roman" w:cs="Times New Roman"/>
          <w:szCs w:val="20"/>
        </w:rPr>
        <w:t xml:space="preserve"> t/a;</w:t>
      </w:r>
    </w:p>
    <w:p w14:paraId="08375616" w14:textId="5026C500" w:rsidR="00615E60" w:rsidRDefault="00615E60" w:rsidP="00615E60">
      <w:pPr>
        <w:pStyle w:val="ListParagraph"/>
        <w:numPr>
          <w:ilvl w:val="0"/>
          <w:numId w:val="4"/>
        </w:num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</w:t>
      </w:r>
      <w:r w:rsidRPr="00437BFC">
        <w:rPr>
          <w:rFonts w:eastAsia="Times New Roman" w:cs="Times New Roman"/>
          <w:szCs w:val="20"/>
          <w:vertAlign w:val="subscript"/>
        </w:rPr>
        <w:t>10</w:t>
      </w:r>
      <w:r w:rsidRPr="00581713">
        <w:rPr>
          <w:rFonts w:eastAsia="Times New Roman" w:cs="Times New Roman"/>
          <w:szCs w:val="20"/>
        </w:rPr>
        <w:t xml:space="preserve"> = </w:t>
      </w:r>
      <w:r w:rsidR="008F3014">
        <w:rPr>
          <w:rFonts w:eastAsia="Times New Roman" w:cs="Times New Roman"/>
          <w:szCs w:val="20"/>
        </w:rPr>
        <w:t>714</w:t>
      </w:r>
      <w:r w:rsidRPr="00581713">
        <w:rPr>
          <w:rFonts w:eastAsia="Times New Roman" w:cs="Times New Roman"/>
          <w:szCs w:val="20"/>
        </w:rPr>
        <w:t xml:space="preserve"> </w:t>
      </w:r>
      <w:r w:rsidRPr="00581713">
        <w:rPr>
          <w:rFonts w:ascii="Arial" w:eastAsia="Times New Roman" w:hAnsi="Arial" w:cs="Arial"/>
          <w:sz w:val="20"/>
          <w:szCs w:val="16"/>
        </w:rPr>
        <w:t>x</w:t>
      </w:r>
      <w:r w:rsidRPr="005817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0,31 </w:t>
      </w:r>
      <w:r w:rsidRPr="00581713">
        <w:rPr>
          <w:rFonts w:eastAsia="Times New Roman" w:cs="Times New Roman"/>
          <w:szCs w:val="20"/>
        </w:rPr>
        <w:t xml:space="preserve">= </w:t>
      </w:r>
      <w:r w:rsidR="004E6655">
        <w:rPr>
          <w:rFonts w:eastAsia="Times New Roman" w:cs="Times New Roman"/>
          <w:szCs w:val="20"/>
        </w:rPr>
        <w:t>221</w:t>
      </w:r>
      <w:r w:rsidRPr="005817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k</w:t>
      </w:r>
      <w:r w:rsidRPr="00581713">
        <w:rPr>
          <w:rFonts w:eastAsia="Times New Roman" w:cs="Times New Roman"/>
          <w:szCs w:val="20"/>
        </w:rPr>
        <w:t>g</w:t>
      </w:r>
      <w:r>
        <w:rPr>
          <w:rFonts w:eastAsia="Times New Roman" w:cs="Times New Roman"/>
          <w:szCs w:val="20"/>
        </w:rPr>
        <w:t>/a</w:t>
      </w:r>
      <w:r w:rsidRPr="00581713">
        <w:rPr>
          <w:rFonts w:eastAsia="Times New Roman" w:cs="Times New Roman"/>
          <w:szCs w:val="20"/>
        </w:rPr>
        <w:t xml:space="preserve"> = </w:t>
      </w:r>
      <w:r w:rsidR="00EC306D">
        <w:rPr>
          <w:rFonts w:eastAsia="Times New Roman" w:cs="Times New Roman"/>
          <w:szCs w:val="20"/>
        </w:rPr>
        <w:t>0,</w:t>
      </w:r>
      <w:r w:rsidR="004E6655">
        <w:rPr>
          <w:rFonts w:eastAsia="Times New Roman" w:cs="Times New Roman"/>
          <w:szCs w:val="20"/>
        </w:rPr>
        <w:t xml:space="preserve">221 </w:t>
      </w:r>
      <w:r w:rsidRPr="00581713">
        <w:rPr>
          <w:rFonts w:eastAsia="Times New Roman" w:cs="Times New Roman"/>
          <w:szCs w:val="20"/>
        </w:rPr>
        <w:t>t/a</w:t>
      </w:r>
      <w:r>
        <w:rPr>
          <w:rFonts w:eastAsia="Times New Roman" w:cs="Times New Roman"/>
          <w:szCs w:val="20"/>
        </w:rPr>
        <w:t>, millest õhku eraldub 0,00</w:t>
      </w:r>
      <w:r w:rsidR="004E6655">
        <w:rPr>
          <w:rFonts w:eastAsia="Times New Roman" w:cs="Times New Roman"/>
          <w:szCs w:val="20"/>
        </w:rPr>
        <w:t>1</w:t>
      </w:r>
      <w:r>
        <w:rPr>
          <w:rFonts w:eastAsia="Times New Roman" w:cs="Times New Roman"/>
          <w:szCs w:val="20"/>
        </w:rPr>
        <w:t xml:space="preserve"> t/a;</w:t>
      </w:r>
    </w:p>
    <w:p w14:paraId="4DEE4363" w14:textId="6376232B" w:rsidR="00615E60" w:rsidRPr="007A04B2" w:rsidRDefault="00615E60" w:rsidP="00615E60">
      <w:pPr>
        <w:pStyle w:val="ListParagraph"/>
        <w:numPr>
          <w:ilvl w:val="0"/>
          <w:numId w:val="4"/>
        </w:num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</w:t>
      </w:r>
      <w:r>
        <w:rPr>
          <w:rFonts w:eastAsia="Times New Roman" w:cs="Times New Roman"/>
          <w:szCs w:val="20"/>
          <w:vertAlign w:val="subscript"/>
        </w:rPr>
        <w:t>2,5</w:t>
      </w:r>
      <w:r w:rsidRPr="00581713">
        <w:rPr>
          <w:rFonts w:eastAsia="Times New Roman" w:cs="Times New Roman"/>
          <w:szCs w:val="20"/>
        </w:rPr>
        <w:t xml:space="preserve"> = </w:t>
      </w:r>
      <w:r w:rsidR="008F3014">
        <w:rPr>
          <w:rFonts w:eastAsia="Times New Roman" w:cs="Times New Roman"/>
          <w:szCs w:val="20"/>
        </w:rPr>
        <w:t>714</w:t>
      </w:r>
      <w:r w:rsidRPr="00581713">
        <w:rPr>
          <w:rFonts w:eastAsia="Times New Roman" w:cs="Times New Roman"/>
          <w:szCs w:val="20"/>
        </w:rPr>
        <w:t xml:space="preserve"> </w:t>
      </w:r>
      <w:r w:rsidRPr="00581713">
        <w:rPr>
          <w:rFonts w:ascii="Arial" w:eastAsia="Times New Roman" w:hAnsi="Arial" w:cs="Arial"/>
          <w:sz w:val="20"/>
          <w:szCs w:val="16"/>
        </w:rPr>
        <w:t>x</w:t>
      </w:r>
      <w:r w:rsidRPr="005817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0,31 </w:t>
      </w:r>
      <w:r w:rsidRPr="00581713">
        <w:rPr>
          <w:rFonts w:eastAsia="Times New Roman" w:cs="Times New Roman"/>
          <w:szCs w:val="20"/>
        </w:rPr>
        <w:t xml:space="preserve">= </w:t>
      </w:r>
      <w:r w:rsidR="004E6655">
        <w:rPr>
          <w:rFonts w:eastAsia="Times New Roman" w:cs="Times New Roman"/>
          <w:szCs w:val="20"/>
        </w:rPr>
        <w:t>221</w:t>
      </w:r>
      <w:r w:rsidRPr="005817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k</w:t>
      </w:r>
      <w:r w:rsidRPr="00581713">
        <w:rPr>
          <w:rFonts w:eastAsia="Times New Roman" w:cs="Times New Roman"/>
          <w:szCs w:val="20"/>
        </w:rPr>
        <w:t>g</w:t>
      </w:r>
      <w:r>
        <w:rPr>
          <w:rFonts w:eastAsia="Times New Roman" w:cs="Times New Roman"/>
          <w:szCs w:val="20"/>
        </w:rPr>
        <w:t>/a</w:t>
      </w:r>
      <w:r w:rsidRPr="00581713">
        <w:rPr>
          <w:rFonts w:eastAsia="Times New Roman" w:cs="Times New Roman"/>
          <w:szCs w:val="20"/>
        </w:rPr>
        <w:t xml:space="preserve"> = </w:t>
      </w:r>
      <w:r w:rsidR="00EC306D">
        <w:rPr>
          <w:rFonts w:eastAsia="Times New Roman" w:cs="Times New Roman"/>
          <w:szCs w:val="20"/>
        </w:rPr>
        <w:t>0,</w:t>
      </w:r>
      <w:r w:rsidR="004E6655">
        <w:rPr>
          <w:rFonts w:eastAsia="Times New Roman" w:cs="Times New Roman"/>
          <w:szCs w:val="20"/>
        </w:rPr>
        <w:t>221</w:t>
      </w:r>
      <w:r w:rsidRPr="00581713">
        <w:rPr>
          <w:rFonts w:eastAsia="Times New Roman" w:cs="Times New Roman"/>
          <w:szCs w:val="20"/>
        </w:rPr>
        <w:t xml:space="preserve"> t/a</w:t>
      </w:r>
      <w:r>
        <w:rPr>
          <w:rFonts w:eastAsia="Times New Roman" w:cs="Times New Roman"/>
          <w:szCs w:val="20"/>
        </w:rPr>
        <w:t>, millest õhku eraldub 0,00</w:t>
      </w:r>
      <w:r w:rsidR="004E6655">
        <w:rPr>
          <w:rFonts w:eastAsia="Times New Roman" w:cs="Times New Roman"/>
          <w:szCs w:val="20"/>
        </w:rPr>
        <w:t>1</w:t>
      </w:r>
      <w:r>
        <w:rPr>
          <w:rFonts w:eastAsia="Times New Roman" w:cs="Times New Roman"/>
          <w:szCs w:val="20"/>
        </w:rPr>
        <w:t xml:space="preserve"> t/a;</w:t>
      </w:r>
    </w:p>
    <w:p w14:paraId="489C0C0C" w14:textId="77777777" w:rsidR="00615E60" w:rsidRDefault="00615E60" w:rsidP="00615E60">
      <w:pPr>
        <w:rPr>
          <w:rFonts w:eastAsia="Times New Roman" w:cs="Times New Roman"/>
          <w:szCs w:val="20"/>
        </w:rPr>
      </w:pPr>
    </w:p>
    <w:p w14:paraId="25871575" w14:textId="6194D8DE" w:rsidR="00615E60" w:rsidRDefault="00615E60" w:rsidP="009E6A5F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Puurmasina </w:t>
      </w:r>
      <w:r w:rsidR="00165F17">
        <w:rPr>
          <w:rFonts w:eastAsia="Times New Roman" w:cs="Times New Roman"/>
          <w:szCs w:val="20"/>
        </w:rPr>
        <w:t xml:space="preserve">arvestatav </w:t>
      </w:r>
      <w:r>
        <w:rPr>
          <w:rFonts w:eastAsia="Times New Roman" w:cs="Times New Roman"/>
          <w:szCs w:val="20"/>
        </w:rPr>
        <w:t xml:space="preserve">puurimiskiirus on umbes 60 m/h ehk 1 m/minutis. Puuritava augu sügavus on </w:t>
      </w:r>
      <w:r w:rsidR="00BC2ABA">
        <w:rPr>
          <w:rFonts w:eastAsia="Times New Roman" w:cs="Times New Roman"/>
          <w:szCs w:val="20"/>
        </w:rPr>
        <w:t>~</w:t>
      </w:r>
      <w:r w:rsidR="00577ED9">
        <w:rPr>
          <w:rFonts w:eastAsia="Times New Roman" w:cs="Times New Roman"/>
          <w:szCs w:val="20"/>
        </w:rPr>
        <w:t>8,1</w:t>
      </w:r>
      <w:r>
        <w:rPr>
          <w:rFonts w:eastAsia="Times New Roman" w:cs="Times New Roman"/>
          <w:szCs w:val="20"/>
        </w:rPr>
        <w:t xml:space="preserve"> m. Eeltoodu kohaselt puurib masin aastase lõhatava mahu kohaselt kokku</w:t>
      </w:r>
    </w:p>
    <w:p w14:paraId="4A4EEEF6" w14:textId="77777777" w:rsidR="00615E60" w:rsidRDefault="00615E60" w:rsidP="00615E60">
      <w:pPr>
        <w:rPr>
          <w:rFonts w:eastAsia="Times New Roman" w:cs="Times New Roman"/>
          <w:szCs w:val="20"/>
        </w:rPr>
      </w:pPr>
    </w:p>
    <w:p w14:paraId="51323BD1" w14:textId="74B0E501" w:rsidR="00615E60" w:rsidRDefault="00577ED9" w:rsidP="00615E60">
      <w:pPr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714</w:t>
      </w:r>
      <w:r w:rsidR="00615E60" w:rsidRPr="00B643C4">
        <w:rPr>
          <w:rFonts w:ascii="Arial" w:eastAsia="Times New Roman" w:hAnsi="Arial" w:cs="Arial"/>
          <w:sz w:val="20"/>
          <w:szCs w:val="16"/>
        </w:rPr>
        <w:t xml:space="preserve"> </w:t>
      </w:r>
      <w:r w:rsidR="00615E60" w:rsidRPr="00581713">
        <w:rPr>
          <w:rFonts w:ascii="Arial" w:eastAsia="Times New Roman" w:hAnsi="Arial" w:cs="Arial"/>
          <w:sz w:val="20"/>
          <w:szCs w:val="16"/>
        </w:rPr>
        <w:t>x</w:t>
      </w:r>
      <w:r w:rsidR="00615E60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8,1</w:t>
      </w:r>
      <w:r w:rsidR="00615E60">
        <w:rPr>
          <w:rFonts w:eastAsia="Times New Roman" w:cs="Times New Roman"/>
          <w:szCs w:val="20"/>
        </w:rPr>
        <w:t xml:space="preserve"> m = </w:t>
      </w:r>
      <w:r>
        <w:rPr>
          <w:rFonts w:eastAsia="Times New Roman" w:cs="Times New Roman"/>
          <w:szCs w:val="20"/>
        </w:rPr>
        <w:t>5</w:t>
      </w:r>
      <w:r w:rsidR="003F524E">
        <w:rPr>
          <w:rFonts w:eastAsia="Times New Roman" w:cs="Times New Roman"/>
          <w:szCs w:val="20"/>
        </w:rPr>
        <w:t xml:space="preserve"> 783</w:t>
      </w:r>
      <w:r w:rsidR="00615E60">
        <w:rPr>
          <w:rFonts w:eastAsia="Times New Roman" w:cs="Times New Roman"/>
          <w:szCs w:val="20"/>
        </w:rPr>
        <w:t xml:space="preserve"> m</w:t>
      </w:r>
    </w:p>
    <w:p w14:paraId="0F2DA2B6" w14:textId="77777777" w:rsidR="00615E60" w:rsidRDefault="00615E60" w:rsidP="00615E60">
      <w:pPr>
        <w:rPr>
          <w:rFonts w:eastAsia="Times New Roman" w:cs="Times New Roman"/>
          <w:szCs w:val="20"/>
        </w:rPr>
      </w:pPr>
    </w:p>
    <w:p w14:paraId="64C7D52A" w14:textId="570390CC" w:rsidR="00615E60" w:rsidRDefault="00615E60" w:rsidP="00615E60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Puurimiseks kulu</w:t>
      </w:r>
      <w:r w:rsidR="008C7BD8">
        <w:rPr>
          <w:rFonts w:eastAsia="Times New Roman" w:cs="Times New Roman"/>
          <w:szCs w:val="20"/>
        </w:rPr>
        <w:t xml:space="preserve">v aeg oleks seega </w:t>
      </w:r>
      <w:r>
        <w:rPr>
          <w:rFonts w:eastAsia="Times New Roman" w:cs="Times New Roman"/>
          <w:szCs w:val="20"/>
        </w:rPr>
        <w:t xml:space="preserve">kokku </w:t>
      </w:r>
      <w:r w:rsidR="00B963BA">
        <w:rPr>
          <w:rFonts w:eastAsia="Times New Roman" w:cs="Times New Roman"/>
          <w:szCs w:val="20"/>
        </w:rPr>
        <w:t>~</w:t>
      </w:r>
      <w:r w:rsidR="003F524E">
        <w:rPr>
          <w:rFonts w:eastAsia="Times New Roman" w:cs="Times New Roman"/>
          <w:szCs w:val="20"/>
        </w:rPr>
        <w:t>96</w:t>
      </w:r>
      <w:r>
        <w:rPr>
          <w:rFonts w:eastAsia="Times New Roman" w:cs="Times New Roman"/>
          <w:szCs w:val="20"/>
        </w:rPr>
        <w:t xml:space="preserve"> h, mille kohaselt oleksid hetkelised heitkogused järgmised:</w:t>
      </w:r>
    </w:p>
    <w:p w14:paraId="61499D2C" w14:textId="77777777" w:rsidR="00615E60" w:rsidRDefault="00615E60" w:rsidP="00615E60">
      <w:pPr>
        <w:rPr>
          <w:rFonts w:eastAsia="Times New Roman" w:cs="Times New Roman"/>
          <w:szCs w:val="20"/>
        </w:rPr>
      </w:pPr>
    </w:p>
    <w:p w14:paraId="601F96EB" w14:textId="379E5A5C" w:rsidR="00615E60" w:rsidRDefault="00615E60" w:rsidP="00615E6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 xml:space="preserve">PM-sum = </w:t>
      </w:r>
      <w:r w:rsidR="00CA3642">
        <w:rPr>
          <w:rFonts w:eastAsia="Times New Roman" w:cs="Times New Roman"/>
          <w:szCs w:val="20"/>
        </w:rPr>
        <w:t>2 000</w:t>
      </w:r>
      <w:r>
        <w:rPr>
          <w:rFonts w:eastAsia="Times New Roman" w:cs="Times New Roman"/>
          <w:szCs w:val="20"/>
        </w:rPr>
        <w:t xml:space="preserve"> g / </w:t>
      </w:r>
      <w:r w:rsidR="00EE5BF2">
        <w:rPr>
          <w:rFonts w:eastAsia="Times New Roman" w:cs="Times New Roman"/>
          <w:szCs w:val="20"/>
        </w:rPr>
        <w:t>345 600</w:t>
      </w:r>
      <w:r>
        <w:rPr>
          <w:rFonts w:eastAsia="Times New Roman" w:cs="Times New Roman"/>
          <w:szCs w:val="20"/>
        </w:rPr>
        <w:t xml:space="preserve"> s = 0,0</w:t>
      </w:r>
      <w:r w:rsidR="00E548EA">
        <w:rPr>
          <w:rFonts w:eastAsia="Times New Roman" w:cs="Times New Roman"/>
          <w:szCs w:val="20"/>
        </w:rPr>
        <w:t>0</w:t>
      </w:r>
      <w:r w:rsidR="00924EF4">
        <w:rPr>
          <w:rFonts w:eastAsia="Times New Roman" w:cs="Times New Roman"/>
          <w:szCs w:val="20"/>
        </w:rPr>
        <w:t>6</w:t>
      </w:r>
      <w:r>
        <w:rPr>
          <w:rFonts w:eastAsia="Times New Roman" w:cs="Times New Roman"/>
          <w:szCs w:val="20"/>
        </w:rPr>
        <w:t xml:space="preserve"> g/s;</w:t>
      </w:r>
    </w:p>
    <w:p w14:paraId="36EDB1D4" w14:textId="1AE96EB6" w:rsidR="00615E60" w:rsidRDefault="00615E60" w:rsidP="00615E6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</w:t>
      </w:r>
      <w:r w:rsidRPr="00E1717C">
        <w:rPr>
          <w:rFonts w:eastAsia="Times New Roman" w:cs="Times New Roman"/>
          <w:szCs w:val="20"/>
          <w:vertAlign w:val="subscript"/>
        </w:rPr>
        <w:t>10</w:t>
      </w:r>
      <w:r>
        <w:rPr>
          <w:rFonts w:eastAsia="Times New Roman" w:cs="Times New Roman"/>
          <w:szCs w:val="20"/>
        </w:rPr>
        <w:t xml:space="preserve"> = </w:t>
      </w:r>
      <w:r w:rsidR="00924EF4">
        <w:rPr>
          <w:rFonts w:eastAsia="Times New Roman" w:cs="Times New Roman"/>
          <w:szCs w:val="20"/>
        </w:rPr>
        <w:t>1</w:t>
      </w:r>
      <w:r w:rsidR="00EC77BC">
        <w:rPr>
          <w:rFonts w:eastAsia="Times New Roman" w:cs="Times New Roman"/>
          <w:szCs w:val="20"/>
        </w:rPr>
        <w:t xml:space="preserve"> 000</w:t>
      </w:r>
      <w:r>
        <w:rPr>
          <w:rFonts w:eastAsia="Times New Roman" w:cs="Times New Roman"/>
          <w:szCs w:val="20"/>
        </w:rPr>
        <w:t xml:space="preserve"> g /</w:t>
      </w:r>
      <w:r w:rsidR="00BD1BBF">
        <w:rPr>
          <w:rFonts w:eastAsia="Times New Roman" w:cs="Times New Roman"/>
          <w:szCs w:val="20"/>
        </w:rPr>
        <w:t xml:space="preserve"> </w:t>
      </w:r>
      <w:r w:rsidR="003F171A">
        <w:rPr>
          <w:rFonts w:eastAsia="Times New Roman" w:cs="Times New Roman"/>
          <w:szCs w:val="20"/>
        </w:rPr>
        <w:t xml:space="preserve">345 600 </w:t>
      </w:r>
      <w:r>
        <w:rPr>
          <w:rFonts w:eastAsia="Times New Roman" w:cs="Times New Roman"/>
          <w:szCs w:val="20"/>
        </w:rPr>
        <w:t>s = 0,00</w:t>
      </w:r>
      <w:r w:rsidR="00E548EA">
        <w:rPr>
          <w:rFonts w:eastAsia="Times New Roman" w:cs="Times New Roman"/>
          <w:szCs w:val="20"/>
        </w:rPr>
        <w:t>3</w:t>
      </w:r>
      <w:r>
        <w:rPr>
          <w:rFonts w:eastAsia="Times New Roman" w:cs="Times New Roman"/>
          <w:szCs w:val="20"/>
        </w:rPr>
        <w:t xml:space="preserve"> g/s;</w:t>
      </w:r>
    </w:p>
    <w:p w14:paraId="57CBE08A" w14:textId="3EFFA092" w:rsidR="00615E60" w:rsidRPr="007A04B2" w:rsidRDefault="00615E60" w:rsidP="00615E6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</w:t>
      </w:r>
      <w:r>
        <w:rPr>
          <w:rFonts w:eastAsia="Times New Roman" w:cs="Times New Roman"/>
          <w:szCs w:val="20"/>
          <w:vertAlign w:val="subscript"/>
        </w:rPr>
        <w:t>2,5</w:t>
      </w:r>
      <w:r>
        <w:rPr>
          <w:rFonts w:eastAsia="Times New Roman" w:cs="Times New Roman"/>
          <w:szCs w:val="20"/>
        </w:rPr>
        <w:t xml:space="preserve"> = </w:t>
      </w:r>
      <w:r w:rsidR="00924EF4">
        <w:rPr>
          <w:rFonts w:eastAsia="Times New Roman" w:cs="Times New Roman"/>
          <w:szCs w:val="20"/>
        </w:rPr>
        <w:t>1</w:t>
      </w:r>
      <w:r>
        <w:rPr>
          <w:rFonts w:eastAsia="Times New Roman" w:cs="Times New Roman"/>
          <w:szCs w:val="20"/>
        </w:rPr>
        <w:t xml:space="preserve"> 000 g /</w:t>
      </w:r>
      <w:r w:rsidR="00BD1BBF">
        <w:rPr>
          <w:rFonts w:eastAsia="Times New Roman" w:cs="Times New Roman"/>
          <w:szCs w:val="20"/>
        </w:rPr>
        <w:t xml:space="preserve"> </w:t>
      </w:r>
      <w:r w:rsidR="003F171A">
        <w:rPr>
          <w:rFonts w:eastAsia="Times New Roman" w:cs="Times New Roman"/>
          <w:szCs w:val="20"/>
        </w:rPr>
        <w:t xml:space="preserve">345 600 </w:t>
      </w:r>
      <w:r>
        <w:rPr>
          <w:rFonts w:eastAsia="Times New Roman" w:cs="Times New Roman"/>
          <w:szCs w:val="20"/>
        </w:rPr>
        <w:t>s = 0,00</w:t>
      </w:r>
      <w:r w:rsidR="00E548EA">
        <w:rPr>
          <w:rFonts w:eastAsia="Times New Roman" w:cs="Times New Roman"/>
          <w:szCs w:val="20"/>
        </w:rPr>
        <w:t>3</w:t>
      </w:r>
      <w:r>
        <w:rPr>
          <w:rFonts w:eastAsia="Times New Roman" w:cs="Times New Roman"/>
          <w:szCs w:val="20"/>
        </w:rPr>
        <w:t xml:space="preserve"> g/s.</w:t>
      </w:r>
    </w:p>
    <w:p w14:paraId="2C1B24F5" w14:textId="38B1428B" w:rsidR="00737CDD" w:rsidRDefault="00737CDD" w:rsidP="00737CDD">
      <w:pPr>
        <w:rPr>
          <w:rFonts w:eastAsia="Times New Roman"/>
        </w:rPr>
      </w:pPr>
    </w:p>
    <w:p w14:paraId="68B22B3B" w14:textId="103FF71A" w:rsidR="00230893" w:rsidRDefault="00230893" w:rsidP="00230893">
      <w:pPr>
        <w:pStyle w:val="Heading3"/>
        <w:rPr>
          <w:rFonts w:eastAsia="Times New Roman"/>
        </w:rPr>
      </w:pPr>
      <w:r>
        <w:rPr>
          <w:rFonts w:eastAsia="Times New Roman"/>
        </w:rPr>
        <w:t>Lõhkamine</w:t>
      </w:r>
      <w:r w:rsidR="00EC77BC">
        <w:rPr>
          <w:rFonts w:eastAsia="Times New Roman"/>
        </w:rPr>
        <w:t xml:space="preserve"> - heiteallikas </w:t>
      </w:r>
      <w:r w:rsidR="00F115D2">
        <w:rPr>
          <w:rFonts w:eastAsia="Times New Roman"/>
        </w:rPr>
        <w:t xml:space="preserve">nr </w:t>
      </w:r>
      <w:r w:rsidR="00EC77BC">
        <w:rPr>
          <w:rFonts w:eastAsia="Times New Roman"/>
        </w:rPr>
        <w:t>2</w:t>
      </w:r>
    </w:p>
    <w:p w14:paraId="3684A485" w14:textId="77777777" w:rsidR="00C625B2" w:rsidRDefault="00C625B2" w:rsidP="00C625B2">
      <w:pPr>
        <w:jc w:val="both"/>
      </w:pPr>
      <w:r>
        <w:rPr>
          <w:rFonts w:eastAsia="Times New Roman" w:cs="Times New Roman"/>
          <w:szCs w:val="20"/>
        </w:rPr>
        <w:t>Lõhketöödel eralduvate tahkete osakeste heitkogused leitakse järgmise</w:t>
      </w:r>
      <w:r>
        <w:t xml:space="preserve"> valemiga:</w:t>
      </w:r>
    </w:p>
    <w:p w14:paraId="2DE54335" w14:textId="4F501E32" w:rsidR="0088592F" w:rsidRDefault="0088592F" w:rsidP="00152458">
      <w:pPr>
        <w:jc w:val="both"/>
      </w:pPr>
    </w:p>
    <w:p w14:paraId="3BADC808" w14:textId="4E73BC15" w:rsidR="0088592F" w:rsidRDefault="0088592F" w:rsidP="0088592F">
      <w:pPr>
        <w:pStyle w:val="BodyText"/>
        <w:jc w:val="center"/>
      </w:pPr>
      <m:oMath>
        <m:r>
          <w:rPr>
            <w:rFonts w:ascii="Cambria Math"/>
          </w:rPr>
          <m:t>E=0,00022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(A)</m:t>
            </m:r>
          </m:e>
          <m:sup>
            <m:r>
              <w:rPr>
                <w:rFonts w:ascii="Cambria Math"/>
              </w:rPr>
              <m:t>1.5</m:t>
            </m:r>
          </m:sup>
        </m:sSup>
      </m:oMath>
      <w:r>
        <w:t xml:space="preserve"> , kus</w:t>
      </w:r>
    </w:p>
    <w:p w14:paraId="14DFB1AD" w14:textId="77777777" w:rsidR="0088592F" w:rsidRPr="006077CB" w:rsidRDefault="0088592F" w:rsidP="0088592F">
      <w:pPr>
        <w:pStyle w:val="BodyText"/>
      </w:pPr>
    </w:p>
    <w:p w14:paraId="64AFFA5C" w14:textId="77777777" w:rsidR="0088592F" w:rsidRPr="006077CB" w:rsidRDefault="0088592F" w:rsidP="0088592F">
      <w:pPr>
        <w:pStyle w:val="BodyText"/>
      </w:pPr>
      <w:r w:rsidRPr="0092784C">
        <w:rPr>
          <w:i/>
        </w:rPr>
        <w:t>E</w:t>
      </w:r>
      <w:r w:rsidRPr="006077CB">
        <w:t xml:space="preserve"> </w:t>
      </w:r>
      <w:r>
        <w:t>–</w:t>
      </w:r>
      <w:r w:rsidRPr="006077CB">
        <w:t xml:space="preserve"> e</w:t>
      </w:r>
      <w:r>
        <w:t>missiooni faktor, tahkete osakeste kogus, kg/lõhkamise kohta;</w:t>
      </w:r>
    </w:p>
    <w:p w14:paraId="4E248452" w14:textId="77777777" w:rsidR="0088592F" w:rsidRPr="006077CB" w:rsidRDefault="0088592F" w:rsidP="0088592F">
      <w:pPr>
        <w:pStyle w:val="BodyText"/>
      </w:pPr>
      <w:r>
        <w:rPr>
          <w:i/>
        </w:rPr>
        <w:t>A</w:t>
      </w:r>
      <w:r>
        <w:t xml:space="preserve"> – lõhkeala pindala, m</w:t>
      </w:r>
      <w:r w:rsidRPr="009D10E6">
        <w:rPr>
          <w:vertAlign w:val="superscript"/>
        </w:rPr>
        <w:t>2</w:t>
      </w:r>
      <w:r w:rsidRPr="009D10E6">
        <w:t xml:space="preserve"> (kus</w:t>
      </w:r>
      <w:r>
        <w:t xml:space="preserve"> lõhkamissügavus ≤</w:t>
      </w:r>
      <w:r w:rsidRPr="009D10E6">
        <w:t xml:space="preserve"> </w:t>
      </w:r>
      <w:r>
        <w:t>21 m).</w:t>
      </w:r>
    </w:p>
    <w:p w14:paraId="4FA34B1D" w14:textId="46858767" w:rsidR="0088592F" w:rsidRDefault="0088592F" w:rsidP="00152458">
      <w:pPr>
        <w:jc w:val="both"/>
      </w:pPr>
    </w:p>
    <w:p w14:paraId="329317BC" w14:textId="77777777" w:rsidR="00ED418C" w:rsidRDefault="00ED418C" w:rsidP="00ED418C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Metoodika kohaselt rakendatakse peenosakeste (PM</w:t>
      </w:r>
      <w:r w:rsidRPr="00172B59">
        <w:rPr>
          <w:rFonts w:eastAsia="Times New Roman" w:cs="Times New Roman"/>
          <w:szCs w:val="20"/>
          <w:vertAlign w:val="subscript"/>
        </w:rPr>
        <w:t>10</w:t>
      </w:r>
      <w:r>
        <w:rPr>
          <w:rFonts w:eastAsia="Times New Roman" w:cs="Times New Roman"/>
          <w:szCs w:val="20"/>
        </w:rPr>
        <w:t>) heitkoguste leidmisel eeltoodud valemile konstanti 0,52 ning eriti peenetele osakestele (PM</w:t>
      </w:r>
      <w:r w:rsidRPr="00DC30C7">
        <w:rPr>
          <w:rFonts w:eastAsia="Times New Roman" w:cs="Times New Roman"/>
          <w:szCs w:val="20"/>
          <w:vertAlign w:val="subscript"/>
        </w:rPr>
        <w:t>2,5</w:t>
      </w:r>
      <w:r>
        <w:rPr>
          <w:rFonts w:eastAsia="Times New Roman" w:cs="Times New Roman"/>
          <w:szCs w:val="20"/>
        </w:rPr>
        <w:t>) konstanti 0,03.</w:t>
      </w:r>
    </w:p>
    <w:p w14:paraId="50025AC4" w14:textId="77777777" w:rsidR="00ED418C" w:rsidRDefault="00ED418C" w:rsidP="00ED418C">
      <w:pPr>
        <w:jc w:val="both"/>
        <w:rPr>
          <w:rFonts w:eastAsia="Times New Roman" w:cs="Times New Roman"/>
          <w:szCs w:val="20"/>
        </w:rPr>
      </w:pPr>
    </w:p>
    <w:p w14:paraId="7A99600D" w14:textId="5A0E1DF9" w:rsidR="00F159CA" w:rsidRDefault="00F159CA" w:rsidP="00F159CA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Võttes aluseks, et ühe lõhkamisega kobestatakse maavara </w:t>
      </w:r>
      <w:r w:rsidR="00F115D2">
        <w:rPr>
          <w:rFonts w:eastAsia="Times New Roman" w:cs="Times New Roman"/>
          <w:szCs w:val="20"/>
        </w:rPr>
        <w:t xml:space="preserve">keskmiselt </w:t>
      </w:r>
      <w:r>
        <w:rPr>
          <w:rFonts w:eastAsia="Times New Roman" w:cs="Times New Roman"/>
          <w:szCs w:val="20"/>
        </w:rPr>
        <w:t xml:space="preserve">umbes </w:t>
      </w:r>
      <w:r w:rsidR="00C017CE">
        <w:rPr>
          <w:rFonts w:eastAsia="Times New Roman" w:cs="Times New Roman"/>
          <w:szCs w:val="20"/>
        </w:rPr>
        <w:t>5</w:t>
      </w:r>
      <w:r w:rsidR="0071110F">
        <w:rPr>
          <w:rFonts w:eastAsia="Times New Roman" w:cs="Times New Roman"/>
          <w:szCs w:val="20"/>
        </w:rPr>
        <w:t> </w:t>
      </w:r>
      <w:r w:rsidR="00F115D2">
        <w:rPr>
          <w:rFonts w:eastAsia="Times New Roman" w:cs="Times New Roman"/>
          <w:szCs w:val="20"/>
        </w:rPr>
        <w:t>0</w:t>
      </w:r>
      <w:r w:rsidR="00737CDD">
        <w:rPr>
          <w:rFonts w:eastAsia="Times New Roman" w:cs="Times New Roman"/>
          <w:szCs w:val="20"/>
        </w:rPr>
        <w:t>00</w:t>
      </w:r>
      <w:r>
        <w:rPr>
          <w:rFonts w:eastAsia="Times New Roman" w:cs="Times New Roman"/>
          <w:szCs w:val="20"/>
        </w:rPr>
        <w:t xml:space="preserve"> m</w:t>
      </w:r>
      <w:r w:rsidRPr="001E17C5">
        <w:rPr>
          <w:rFonts w:eastAsia="Times New Roman" w:cs="Times New Roman"/>
          <w:szCs w:val="20"/>
          <w:vertAlign w:val="superscript"/>
        </w:rPr>
        <w:t>3</w:t>
      </w:r>
      <w:r w:rsidRPr="00C26A20">
        <w:rPr>
          <w:rFonts w:eastAsia="Times New Roman" w:cs="Times New Roman"/>
          <w:szCs w:val="20"/>
        </w:rPr>
        <w:t xml:space="preserve"> ulatuses</w:t>
      </w:r>
      <w:r>
        <w:rPr>
          <w:rFonts w:eastAsia="Times New Roman" w:cs="Times New Roman"/>
          <w:szCs w:val="20"/>
        </w:rPr>
        <w:t xml:space="preserve">, tuleb aastase kaevandamismahu </w:t>
      </w:r>
      <w:r w:rsidR="00C017CE">
        <w:rPr>
          <w:rFonts w:eastAsia="Times New Roman" w:cs="Times New Roman"/>
          <w:szCs w:val="20"/>
        </w:rPr>
        <w:t>85</w:t>
      </w:r>
      <w:r w:rsidR="004D56F2">
        <w:rPr>
          <w:rFonts w:eastAsia="Times New Roman" w:cs="Times New Roman"/>
          <w:szCs w:val="20"/>
        </w:rPr>
        <w:t xml:space="preserve"> </w:t>
      </w:r>
      <w:r w:rsidR="0071110F">
        <w:rPr>
          <w:rFonts w:eastAsia="Times New Roman" w:cs="Times New Roman"/>
          <w:szCs w:val="20"/>
        </w:rPr>
        <w:t>000</w:t>
      </w:r>
      <w:r>
        <w:rPr>
          <w:rFonts w:eastAsia="Times New Roman" w:cs="Times New Roman"/>
          <w:szCs w:val="20"/>
        </w:rPr>
        <w:t xml:space="preserve"> m</w:t>
      </w:r>
      <w:r w:rsidRPr="001E17C5">
        <w:rPr>
          <w:rFonts w:eastAsia="Times New Roman" w:cs="Times New Roman"/>
          <w:szCs w:val="20"/>
          <w:vertAlign w:val="superscript"/>
        </w:rPr>
        <w:t>3</w:t>
      </w:r>
      <w:r>
        <w:rPr>
          <w:rFonts w:eastAsia="Times New Roman" w:cs="Times New Roman"/>
          <w:szCs w:val="20"/>
        </w:rPr>
        <w:t xml:space="preserve"> raimamiseks lõhketöödega teostada ligikaudu </w:t>
      </w:r>
      <w:r w:rsidR="00C017CE">
        <w:rPr>
          <w:rFonts w:eastAsia="Times New Roman" w:cs="Times New Roman"/>
          <w:szCs w:val="20"/>
        </w:rPr>
        <w:t>17</w:t>
      </w:r>
      <w:r>
        <w:rPr>
          <w:rFonts w:eastAsia="Times New Roman" w:cs="Times New Roman"/>
          <w:szCs w:val="20"/>
        </w:rPr>
        <w:t xml:space="preserve"> lõhkamist. Ühe lõhkamise ala suuruseks kujuneb umbes </w:t>
      </w:r>
      <w:r w:rsidR="00C017CE">
        <w:rPr>
          <w:rFonts w:eastAsia="Times New Roman" w:cs="Times New Roman"/>
          <w:szCs w:val="20"/>
        </w:rPr>
        <w:t>620</w:t>
      </w:r>
      <w:r>
        <w:rPr>
          <w:rFonts w:eastAsia="Times New Roman" w:cs="Times New Roman"/>
          <w:szCs w:val="20"/>
        </w:rPr>
        <w:t xml:space="preserve"> m</w:t>
      </w:r>
      <w:r w:rsidRPr="002F244A">
        <w:rPr>
          <w:rFonts w:eastAsia="Times New Roman" w:cs="Times New Roman"/>
          <w:szCs w:val="20"/>
          <w:vertAlign w:val="superscript"/>
        </w:rPr>
        <w:t>2</w:t>
      </w:r>
      <w:r>
        <w:rPr>
          <w:rFonts w:eastAsia="Times New Roman" w:cs="Times New Roman"/>
          <w:szCs w:val="20"/>
        </w:rPr>
        <w:t>. Kasutades eelmainitud metoodikat, on aastased tahkete osakeste heitkogused järgmised:</w:t>
      </w:r>
    </w:p>
    <w:p w14:paraId="6906D9F7" w14:textId="77777777" w:rsidR="00F159CA" w:rsidRDefault="00F159CA" w:rsidP="00F159CA">
      <w:pPr>
        <w:jc w:val="both"/>
        <w:rPr>
          <w:rFonts w:eastAsia="Times New Roman" w:cs="Times New Roman"/>
          <w:szCs w:val="20"/>
        </w:rPr>
      </w:pPr>
    </w:p>
    <w:p w14:paraId="46E4D3B0" w14:textId="434150C0" w:rsidR="00F159CA" w:rsidRPr="00936F57" w:rsidRDefault="00F159CA" w:rsidP="00F159CA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0"/>
        </w:rPr>
      </w:pPr>
      <w:r w:rsidRPr="00936F57">
        <w:rPr>
          <w:rFonts w:eastAsia="Times New Roman" w:cs="Times New Roman"/>
          <w:color w:val="000000" w:themeColor="text1"/>
          <w:szCs w:val="20"/>
        </w:rPr>
        <w:t xml:space="preserve">PM-sum = 0,00022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(</w:t>
      </w:r>
      <w:r w:rsidR="003D41FE">
        <w:rPr>
          <w:rFonts w:eastAsia="Times New Roman" w:cs="Times New Roman"/>
          <w:color w:val="000000" w:themeColor="text1"/>
          <w:szCs w:val="20"/>
        </w:rPr>
        <w:t>620</w:t>
      </w:r>
      <w:r w:rsidRPr="00936F57">
        <w:rPr>
          <w:rFonts w:eastAsia="Times New Roman" w:cs="Times New Roman"/>
          <w:color w:val="000000" w:themeColor="text1"/>
          <w:szCs w:val="20"/>
        </w:rPr>
        <w:t>)</w:t>
      </w:r>
      <w:r w:rsidRPr="00936F57">
        <w:rPr>
          <w:rFonts w:eastAsia="Times New Roman" w:cs="Times New Roman"/>
          <w:color w:val="000000" w:themeColor="text1"/>
          <w:szCs w:val="20"/>
          <w:vertAlign w:val="superscript"/>
        </w:rPr>
        <w:t>1.5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="003D41FE">
        <w:rPr>
          <w:rFonts w:eastAsia="Times New Roman" w:cs="Times New Roman"/>
          <w:color w:val="000000" w:themeColor="text1"/>
          <w:szCs w:val="20"/>
        </w:rPr>
        <w:t>17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= </w:t>
      </w:r>
      <w:r w:rsidR="00556D3E">
        <w:rPr>
          <w:rFonts w:eastAsia="Times New Roman" w:cs="Times New Roman"/>
          <w:color w:val="000000" w:themeColor="text1"/>
          <w:szCs w:val="20"/>
        </w:rPr>
        <w:t>5</w:t>
      </w:r>
      <w:r w:rsidR="005B38BA">
        <w:rPr>
          <w:rFonts w:eastAsia="Times New Roman" w:cs="Times New Roman"/>
          <w:color w:val="000000" w:themeColor="text1"/>
          <w:szCs w:val="20"/>
        </w:rPr>
        <w:t>8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kg/a = 0,</w:t>
      </w:r>
      <w:r w:rsidR="00F17AA7" w:rsidRPr="00936F57">
        <w:rPr>
          <w:rFonts w:eastAsia="Times New Roman" w:cs="Times New Roman"/>
          <w:color w:val="000000" w:themeColor="text1"/>
          <w:szCs w:val="20"/>
        </w:rPr>
        <w:t>0</w:t>
      </w:r>
      <w:r w:rsidR="00556D3E">
        <w:rPr>
          <w:rFonts w:eastAsia="Times New Roman" w:cs="Times New Roman"/>
          <w:color w:val="000000" w:themeColor="text1"/>
          <w:szCs w:val="20"/>
        </w:rPr>
        <w:t>5</w:t>
      </w:r>
      <w:r w:rsidR="00E34595">
        <w:rPr>
          <w:rFonts w:eastAsia="Times New Roman" w:cs="Times New Roman"/>
          <w:color w:val="000000" w:themeColor="text1"/>
          <w:szCs w:val="20"/>
        </w:rPr>
        <w:t>8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t/a;</w:t>
      </w:r>
    </w:p>
    <w:p w14:paraId="5399E38C" w14:textId="780AFC39" w:rsidR="00F159CA" w:rsidRPr="00936F57" w:rsidRDefault="00F159CA" w:rsidP="00F159CA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0"/>
        </w:rPr>
      </w:pPr>
      <w:r w:rsidRPr="00936F57">
        <w:rPr>
          <w:rFonts w:eastAsia="Times New Roman" w:cs="Times New Roman"/>
          <w:color w:val="000000" w:themeColor="text1"/>
          <w:szCs w:val="20"/>
        </w:rPr>
        <w:t>PM</w:t>
      </w:r>
      <w:r w:rsidRPr="00936F57">
        <w:rPr>
          <w:rFonts w:eastAsia="Times New Roman" w:cs="Times New Roman"/>
          <w:color w:val="000000" w:themeColor="text1"/>
          <w:szCs w:val="20"/>
          <w:vertAlign w:val="subscript"/>
        </w:rPr>
        <w:t>10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= 0,00022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(</w:t>
      </w:r>
      <w:r w:rsidR="003D41FE">
        <w:rPr>
          <w:rFonts w:eastAsia="Times New Roman" w:cs="Times New Roman"/>
          <w:color w:val="000000" w:themeColor="text1"/>
          <w:szCs w:val="20"/>
        </w:rPr>
        <w:t>620</w:t>
      </w:r>
      <w:r w:rsidRPr="00936F57">
        <w:rPr>
          <w:rFonts w:eastAsia="Times New Roman" w:cs="Times New Roman"/>
          <w:color w:val="000000" w:themeColor="text1"/>
          <w:szCs w:val="20"/>
        </w:rPr>
        <w:t>)</w:t>
      </w:r>
      <w:r w:rsidRPr="00936F57">
        <w:rPr>
          <w:rFonts w:eastAsia="Times New Roman" w:cs="Times New Roman"/>
          <w:color w:val="000000" w:themeColor="text1"/>
          <w:szCs w:val="20"/>
          <w:vertAlign w:val="superscript"/>
        </w:rPr>
        <w:t>1.5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="003D41FE">
        <w:rPr>
          <w:rFonts w:eastAsia="Times New Roman" w:cs="Times New Roman"/>
          <w:color w:val="000000" w:themeColor="text1"/>
          <w:szCs w:val="20"/>
        </w:rPr>
        <w:t>17</w:t>
      </w:r>
      <w:r w:rsidR="006F7B0F"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0,52 = </w:t>
      </w:r>
      <w:r w:rsidR="00556D3E">
        <w:rPr>
          <w:rFonts w:eastAsia="Times New Roman" w:cs="Times New Roman"/>
          <w:color w:val="000000" w:themeColor="text1"/>
          <w:szCs w:val="20"/>
        </w:rPr>
        <w:t>3</w:t>
      </w:r>
      <w:r w:rsidR="00E806F7">
        <w:rPr>
          <w:rFonts w:eastAsia="Times New Roman" w:cs="Times New Roman"/>
          <w:color w:val="000000" w:themeColor="text1"/>
          <w:szCs w:val="20"/>
        </w:rPr>
        <w:t>0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kg/a = 0,</w:t>
      </w:r>
      <w:r w:rsidR="00080F5E" w:rsidRPr="00936F57">
        <w:rPr>
          <w:rFonts w:eastAsia="Times New Roman" w:cs="Times New Roman"/>
          <w:color w:val="000000" w:themeColor="text1"/>
          <w:szCs w:val="20"/>
        </w:rPr>
        <w:t>0</w:t>
      </w:r>
      <w:r w:rsidR="00556D3E">
        <w:rPr>
          <w:rFonts w:eastAsia="Times New Roman" w:cs="Times New Roman"/>
          <w:color w:val="000000" w:themeColor="text1"/>
          <w:szCs w:val="20"/>
        </w:rPr>
        <w:t>3</w:t>
      </w:r>
      <w:r w:rsidR="00E34595">
        <w:rPr>
          <w:rFonts w:eastAsia="Times New Roman" w:cs="Times New Roman"/>
          <w:color w:val="000000" w:themeColor="text1"/>
          <w:szCs w:val="20"/>
        </w:rPr>
        <w:t>0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t/a;</w:t>
      </w:r>
    </w:p>
    <w:p w14:paraId="51BB5F2E" w14:textId="56123B7E" w:rsidR="00F159CA" w:rsidRPr="00936F57" w:rsidRDefault="00F159CA" w:rsidP="00F159CA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0"/>
        </w:rPr>
      </w:pPr>
      <w:r w:rsidRPr="00936F57">
        <w:rPr>
          <w:rFonts w:eastAsia="Times New Roman" w:cs="Times New Roman"/>
          <w:color w:val="000000" w:themeColor="text1"/>
          <w:szCs w:val="20"/>
        </w:rPr>
        <w:t>PM</w:t>
      </w:r>
      <w:r w:rsidRPr="00936F57">
        <w:rPr>
          <w:rFonts w:eastAsia="Times New Roman" w:cs="Times New Roman"/>
          <w:color w:val="000000" w:themeColor="text1"/>
          <w:szCs w:val="20"/>
          <w:vertAlign w:val="subscript"/>
        </w:rPr>
        <w:t>2,5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= 0,00022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(</w:t>
      </w:r>
      <w:r w:rsidR="003D41FE">
        <w:rPr>
          <w:rFonts w:eastAsia="Times New Roman" w:cs="Times New Roman"/>
          <w:color w:val="000000" w:themeColor="text1"/>
          <w:szCs w:val="20"/>
        </w:rPr>
        <w:t>620</w:t>
      </w:r>
      <w:r w:rsidRPr="00936F57">
        <w:rPr>
          <w:rFonts w:eastAsia="Times New Roman" w:cs="Times New Roman"/>
          <w:color w:val="000000" w:themeColor="text1"/>
          <w:szCs w:val="20"/>
        </w:rPr>
        <w:t>)</w:t>
      </w:r>
      <w:r w:rsidRPr="00936F57">
        <w:rPr>
          <w:rFonts w:eastAsia="Times New Roman" w:cs="Times New Roman"/>
          <w:color w:val="000000" w:themeColor="text1"/>
          <w:szCs w:val="20"/>
          <w:vertAlign w:val="superscript"/>
        </w:rPr>
        <w:t>1.5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="003D41FE">
        <w:rPr>
          <w:rFonts w:eastAsia="Times New Roman" w:cs="Times New Roman"/>
          <w:color w:val="000000" w:themeColor="text1"/>
          <w:szCs w:val="20"/>
        </w:rPr>
        <w:t>17</w:t>
      </w:r>
      <w:r w:rsidR="006F7B0F" w:rsidRPr="00936F57">
        <w:rPr>
          <w:rFonts w:eastAsia="Times New Roman" w:cs="Times New Roman"/>
          <w:color w:val="000000" w:themeColor="text1"/>
          <w:szCs w:val="20"/>
        </w:rPr>
        <w:t xml:space="preserve"> </w:t>
      </w:r>
      <w:r w:rsidRPr="00936F57">
        <w:rPr>
          <w:rFonts w:ascii="Arial" w:eastAsia="Times New Roman" w:hAnsi="Arial" w:cs="Arial"/>
          <w:color w:val="000000" w:themeColor="text1"/>
          <w:sz w:val="20"/>
          <w:szCs w:val="16"/>
        </w:rPr>
        <w:t>x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0,03 = </w:t>
      </w:r>
      <w:r w:rsidR="00556D3E">
        <w:rPr>
          <w:rFonts w:eastAsia="Times New Roman" w:cs="Times New Roman"/>
          <w:color w:val="000000" w:themeColor="text1"/>
          <w:szCs w:val="20"/>
        </w:rPr>
        <w:t>2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kg/a = 0,00</w:t>
      </w:r>
      <w:r w:rsidR="00556D3E">
        <w:rPr>
          <w:rFonts w:eastAsia="Times New Roman" w:cs="Times New Roman"/>
          <w:color w:val="000000" w:themeColor="text1"/>
          <w:szCs w:val="20"/>
        </w:rPr>
        <w:t>2</w:t>
      </w:r>
      <w:r w:rsidRPr="00936F57">
        <w:rPr>
          <w:rFonts w:eastAsia="Times New Roman" w:cs="Times New Roman"/>
          <w:color w:val="000000" w:themeColor="text1"/>
          <w:szCs w:val="20"/>
        </w:rPr>
        <w:t xml:space="preserve"> t/a;</w:t>
      </w:r>
    </w:p>
    <w:p w14:paraId="1B66B6A0" w14:textId="4E78D33E" w:rsidR="002F244A" w:rsidRPr="00825C82" w:rsidRDefault="002F244A" w:rsidP="002C00D0">
      <w:pPr>
        <w:jc w:val="both"/>
        <w:rPr>
          <w:rFonts w:eastAsia="Times New Roman" w:cs="Times New Roman"/>
          <w:color w:val="FF0000"/>
          <w:szCs w:val="20"/>
        </w:rPr>
      </w:pPr>
    </w:p>
    <w:p w14:paraId="4B6C6526" w14:textId="3A997A71" w:rsidR="00670500" w:rsidRDefault="00670500" w:rsidP="002C00D0">
      <w:pPr>
        <w:jc w:val="both"/>
        <w:rPr>
          <w:rFonts w:eastAsia="Times New Roman" w:cs="Times New Roman"/>
          <w:szCs w:val="20"/>
        </w:rPr>
      </w:pPr>
      <w:r w:rsidRPr="00670500">
        <w:rPr>
          <w:rFonts w:eastAsia="Times New Roman" w:cs="Times New Roman"/>
          <w:szCs w:val="20"/>
        </w:rPr>
        <w:t xml:space="preserve">Lõhketöödel eralduv tolm on lokaalse iseloomuga, mis põhjustab suuri kontsentratsioone ainult väga lühiajaliselt ning lõhkekoha vahetus ümbruses. </w:t>
      </w:r>
      <w:r w:rsidR="00AE1322">
        <w:rPr>
          <w:rFonts w:eastAsia="Times New Roman" w:cs="Times New Roman"/>
          <w:szCs w:val="20"/>
        </w:rPr>
        <w:t xml:space="preserve">Seega on tegu </w:t>
      </w:r>
      <w:r w:rsidR="00F13B9C">
        <w:rPr>
          <w:rFonts w:eastAsia="Times New Roman" w:cs="Times New Roman"/>
          <w:szCs w:val="20"/>
        </w:rPr>
        <w:t xml:space="preserve">iseloomult </w:t>
      </w:r>
      <w:r w:rsidR="00AE1322">
        <w:rPr>
          <w:rFonts w:eastAsia="Times New Roman" w:cs="Times New Roman"/>
          <w:szCs w:val="20"/>
        </w:rPr>
        <w:t xml:space="preserve">kontrollimatu heitmega. </w:t>
      </w:r>
      <w:r w:rsidRPr="00670500">
        <w:rPr>
          <w:rFonts w:eastAsia="Times New Roman" w:cs="Times New Roman"/>
          <w:szCs w:val="20"/>
        </w:rPr>
        <w:t xml:space="preserve">Tekkinud tolmu kontsentratsioonid hajuvad esimese paari minutiga ning need ei avalda </w:t>
      </w:r>
      <w:r w:rsidR="00DF1717">
        <w:rPr>
          <w:rFonts w:eastAsia="Times New Roman" w:cs="Times New Roman"/>
          <w:szCs w:val="20"/>
        </w:rPr>
        <w:t xml:space="preserve">olulist </w:t>
      </w:r>
      <w:r w:rsidRPr="00670500">
        <w:rPr>
          <w:rFonts w:eastAsia="Times New Roman" w:cs="Times New Roman"/>
          <w:szCs w:val="20"/>
        </w:rPr>
        <w:t>mõju pikemaajalistele keskmistele kontsentratsioonidele.</w:t>
      </w:r>
    </w:p>
    <w:p w14:paraId="3278B55C" w14:textId="52A80077" w:rsidR="00306347" w:rsidRDefault="00306347" w:rsidP="002C00D0">
      <w:pPr>
        <w:jc w:val="both"/>
        <w:rPr>
          <w:rFonts w:eastAsia="Times New Roman" w:cs="Times New Roman"/>
          <w:szCs w:val="20"/>
        </w:rPr>
      </w:pPr>
    </w:p>
    <w:p w14:paraId="5FABBDC9" w14:textId="69203028" w:rsidR="008A3CE5" w:rsidRPr="00670500" w:rsidRDefault="00670500" w:rsidP="008A3CE5">
      <w:pPr>
        <w:jc w:val="both"/>
        <w:rPr>
          <w:rFonts w:eastAsia="Times New Roman" w:cs="Times New Roman"/>
          <w:szCs w:val="20"/>
        </w:rPr>
      </w:pPr>
      <w:r w:rsidRPr="00670500">
        <w:rPr>
          <w:rFonts w:eastAsia="Times New Roman" w:cs="Times New Roman"/>
          <w:szCs w:val="20"/>
        </w:rPr>
        <w:t>Lõhkamisel tekkivad põlemisgaasid</w:t>
      </w:r>
      <w:r w:rsidR="00242762">
        <w:rPr>
          <w:rFonts w:eastAsia="Times New Roman" w:cs="Times New Roman"/>
          <w:szCs w:val="20"/>
        </w:rPr>
        <w:t>e</w:t>
      </w:r>
      <w:r w:rsidRPr="00670500">
        <w:rPr>
          <w:rFonts w:eastAsia="Times New Roman" w:cs="Times New Roman"/>
          <w:szCs w:val="20"/>
        </w:rPr>
        <w:t xml:space="preserve"> - peamiselt CO</w:t>
      </w:r>
      <w:r w:rsidR="00BC1AAD">
        <w:rPr>
          <w:rFonts w:eastAsia="Times New Roman" w:cs="Times New Roman"/>
          <w:szCs w:val="20"/>
        </w:rPr>
        <w:t xml:space="preserve">, </w:t>
      </w:r>
      <w:r w:rsidRPr="00670500">
        <w:rPr>
          <w:rFonts w:eastAsia="Times New Roman" w:cs="Times New Roman"/>
          <w:szCs w:val="20"/>
        </w:rPr>
        <w:t>NO</w:t>
      </w:r>
      <w:r w:rsidRPr="00242762">
        <w:rPr>
          <w:rFonts w:eastAsia="Times New Roman" w:cs="Times New Roman"/>
          <w:szCs w:val="20"/>
          <w:vertAlign w:val="subscript"/>
        </w:rPr>
        <w:t>x</w:t>
      </w:r>
      <w:r w:rsidRPr="00670500">
        <w:rPr>
          <w:rFonts w:eastAsia="Times New Roman" w:cs="Times New Roman"/>
          <w:szCs w:val="20"/>
        </w:rPr>
        <w:t xml:space="preserve"> </w:t>
      </w:r>
      <w:r w:rsidR="00BC1AAD">
        <w:rPr>
          <w:rFonts w:eastAsia="Times New Roman" w:cs="Times New Roman"/>
          <w:szCs w:val="20"/>
        </w:rPr>
        <w:t>ja SO</w:t>
      </w:r>
      <w:r w:rsidR="00BC1AAD" w:rsidRPr="00BC1AAD">
        <w:rPr>
          <w:rFonts w:eastAsia="Times New Roman" w:cs="Times New Roman"/>
          <w:szCs w:val="20"/>
          <w:vertAlign w:val="subscript"/>
        </w:rPr>
        <w:t>2</w:t>
      </w:r>
      <w:r w:rsidR="00BC1AAD">
        <w:rPr>
          <w:rFonts w:eastAsia="Times New Roman" w:cs="Times New Roman"/>
          <w:szCs w:val="20"/>
        </w:rPr>
        <w:t xml:space="preserve"> </w:t>
      </w:r>
      <w:r w:rsidRPr="00670500">
        <w:rPr>
          <w:rFonts w:eastAsia="Times New Roman" w:cs="Times New Roman"/>
          <w:szCs w:val="20"/>
        </w:rPr>
        <w:t>- heitmed on võimalik arvutada kasutatava lõhkeainetüübi ja koguste kaudu</w:t>
      </w:r>
      <w:bookmarkStart w:id="1" w:name="_Ref43202243"/>
      <w:r w:rsidR="00FF6667">
        <w:rPr>
          <w:rStyle w:val="FootnoteReference"/>
          <w:rFonts w:eastAsia="Times New Roman" w:cs="Times New Roman"/>
          <w:szCs w:val="20"/>
        </w:rPr>
        <w:footnoteReference w:id="1"/>
      </w:r>
      <w:bookmarkEnd w:id="1"/>
      <w:r w:rsidRPr="00670500">
        <w:rPr>
          <w:rFonts w:eastAsia="Times New Roman" w:cs="Times New Roman"/>
          <w:szCs w:val="20"/>
        </w:rPr>
        <w:t xml:space="preserve">. </w:t>
      </w:r>
      <w:r w:rsidR="00EF6784">
        <w:rPr>
          <w:rFonts w:eastAsia="Times New Roman" w:cs="Times New Roman"/>
          <w:szCs w:val="20"/>
        </w:rPr>
        <w:t>L</w:t>
      </w:r>
      <w:r w:rsidRPr="00670500">
        <w:rPr>
          <w:rFonts w:eastAsia="Times New Roman" w:cs="Times New Roman"/>
          <w:szCs w:val="20"/>
        </w:rPr>
        <w:t xml:space="preserve">õhkeainena on </w:t>
      </w:r>
      <w:r w:rsidR="00EF6784">
        <w:rPr>
          <w:rFonts w:eastAsia="Times New Roman" w:cs="Times New Roman"/>
          <w:szCs w:val="20"/>
        </w:rPr>
        <w:t xml:space="preserve">karjääris kasutusel </w:t>
      </w:r>
      <w:r w:rsidRPr="00670500">
        <w:rPr>
          <w:rFonts w:eastAsia="Times New Roman" w:cs="Times New Roman"/>
          <w:szCs w:val="20"/>
        </w:rPr>
        <w:t>ammooniumnitraa</w:t>
      </w:r>
      <w:r w:rsidR="00E75961">
        <w:rPr>
          <w:rFonts w:eastAsia="Times New Roman" w:cs="Times New Roman"/>
          <w:szCs w:val="20"/>
        </w:rPr>
        <w:t>d</w:t>
      </w:r>
      <w:r w:rsidRPr="00670500">
        <w:rPr>
          <w:rFonts w:eastAsia="Times New Roman" w:cs="Times New Roman"/>
          <w:szCs w:val="20"/>
        </w:rPr>
        <w:t xml:space="preserve">i tüüpi lõhkeaine „ANFO“. </w:t>
      </w:r>
      <w:r w:rsidR="00F23588">
        <w:rPr>
          <w:rFonts w:eastAsia="Times New Roman" w:cs="Times New Roman"/>
          <w:szCs w:val="20"/>
        </w:rPr>
        <w:t>Lubja</w:t>
      </w:r>
      <w:r w:rsidRPr="00670500">
        <w:rPr>
          <w:rFonts w:eastAsia="Times New Roman" w:cs="Times New Roman"/>
          <w:szCs w:val="20"/>
        </w:rPr>
        <w:t>kivi lõhkamisel on lõhkeaine erikuluks kobestuslaengu puhul 0,4 - 0,</w:t>
      </w:r>
      <w:r w:rsidR="00D762CE">
        <w:rPr>
          <w:rFonts w:eastAsia="Times New Roman" w:cs="Times New Roman"/>
          <w:szCs w:val="20"/>
        </w:rPr>
        <w:t>6</w:t>
      </w:r>
      <w:r w:rsidRPr="00670500">
        <w:rPr>
          <w:rFonts w:eastAsia="Times New Roman" w:cs="Times New Roman"/>
          <w:szCs w:val="20"/>
        </w:rPr>
        <w:t xml:space="preserve"> kg/m</w:t>
      </w:r>
      <w:r w:rsidRPr="001E7436">
        <w:rPr>
          <w:rFonts w:eastAsia="Times New Roman" w:cs="Times New Roman"/>
          <w:szCs w:val="20"/>
          <w:vertAlign w:val="superscript"/>
        </w:rPr>
        <w:t>3</w:t>
      </w:r>
      <w:r w:rsidRPr="00670500">
        <w:rPr>
          <w:rFonts w:eastAsia="Times New Roman" w:cs="Times New Roman"/>
          <w:szCs w:val="20"/>
        </w:rPr>
        <w:t xml:space="preserve"> </w:t>
      </w:r>
      <w:r w:rsidR="00F23588">
        <w:rPr>
          <w:rFonts w:eastAsia="Times New Roman" w:cs="Times New Roman"/>
          <w:szCs w:val="20"/>
        </w:rPr>
        <w:t xml:space="preserve">maavara </w:t>
      </w:r>
      <w:r w:rsidRPr="00670500">
        <w:rPr>
          <w:rFonts w:eastAsia="Times New Roman" w:cs="Times New Roman"/>
          <w:szCs w:val="20"/>
        </w:rPr>
        <w:t>mahu kohta. Võttes lõhkeaine erikuluks 0,</w:t>
      </w:r>
      <w:r w:rsidR="00F23588">
        <w:rPr>
          <w:rFonts w:eastAsia="Times New Roman" w:cs="Times New Roman"/>
          <w:szCs w:val="20"/>
        </w:rPr>
        <w:t>4</w:t>
      </w:r>
      <w:r w:rsidR="00D762CE">
        <w:rPr>
          <w:rFonts w:eastAsia="Times New Roman" w:cs="Times New Roman"/>
          <w:szCs w:val="20"/>
        </w:rPr>
        <w:t>5</w:t>
      </w:r>
      <w:r w:rsidRPr="00670500">
        <w:rPr>
          <w:rFonts w:eastAsia="Times New Roman" w:cs="Times New Roman"/>
          <w:szCs w:val="20"/>
        </w:rPr>
        <w:t xml:space="preserve"> kg/m</w:t>
      </w:r>
      <w:r w:rsidRPr="001E7436">
        <w:rPr>
          <w:rFonts w:eastAsia="Times New Roman" w:cs="Times New Roman"/>
          <w:szCs w:val="20"/>
          <w:vertAlign w:val="superscript"/>
        </w:rPr>
        <w:t>3</w:t>
      </w:r>
      <w:r w:rsidRPr="00670500">
        <w:rPr>
          <w:rFonts w:eastAsia="Times New Roman" w:cs="Times New Roman"/>
          <w:szCs w:val="20"/>
        </w:rPr>
        <w:t xml:space="preserve">, on aastase toodangu kobestamiseks vajalik </w:t>
      </w:r>
      <w:r w:rsidR="00B1510F">
        <w:rPr>
          <w:rFonts w:eastAsia="Times New Roman" w:cs="Times New Roman"/>
          <w:szCs w:val="20"/>
        </w:rPr>
        <w:t xml:space="preserve">umbes </w:t>
      </w:r>
      <w:r w:rsidR="00976D38">
        <w:rPr>
          <w:rFonts w:eastAsia="Times New Roman" w:cs="Times New Roman"/>
          <w:szCs w:val="20"/>
        </w:rPr>
        <w:t>38 300</w:t>
      </w:r>
      <w:r w:rsidR="00B1510F">
        <w:rPr>
          <w:rFonts w:eastAsia="Times New Roman" w:cs="Times New Roman"/>
          <w:szCs w:val="20"/>
        </w:rPr>
        <w:t> </w:t>
      </w:r>
      <w:r w:rsidRPr="00670500">
        <w:rPr>
          <w:rFonts w:eastAsia="Times New Roman" w:cs="Times New Roman"/>
          <w:szCs w:val="20"/>
        </w:rPr>
        <w:t xml:space="preserve">kg lõhkeainet. </w:t>
      </w:r>
      <w:r w:rsidR="003E5EE8">
        <w:rPr>
          <w:rFonts w:eastAsia="Times New Roman" w:cs="Times New Roman"/>
          <w:szCs w:val="20"/>
        </w:rPr>
        <w:t xml:space="preserve">Eeltoodud metoodika </w:t>
      </w:r>
      <w:r w:rsidR="0086659C">
        <w:rPr>
          <w:rFonts w:eastAsia="Times New Roman" w:cs="Times New Roman"/>
          <w:szCs w:val="20"/>
        </w:rPr>
        <w:t>kohaselt eraldub a</w:t>
      </w:r>
      <w:r w:rsidRPr="00670500">
        <w:rPr>
          <w:rFonts w:eastAsia="Times New Roman" w:cs="Times New Roman"/>
          <w:szCs w:val="20"/>
        </w:rPr>
        <w:t xml:space="preserve">mmooniumnitraadist </w:t>
      </w:r>
      <w:r w:rsidR="008A3CE5">
        <w:rPr>
          <w:rFonts w:eastAsia="Times New Roman" w:cs="Times New Roman"/>
          <w:szCs w:val="20"/>
        </w:rPr>
        <w:t>heitmeid</w:t>
      </w:r>
      <w:r w:rsidR="008A3CE5" w:rsidRPr="00670500">
        <w:rPr>
          <w:rFonts w:eastAsia="Times New Roman" w:cs="Times New Roman"/>
          <w:szCs w:val="20"/>
        </w:rPr>
        <w:t xml:space="preserve"> ühe </w:t>
      </w:r>
      <w:r w:rsidR="008A3CE5">
        <w:rPr>
          <w:rFonts w:eastAsia="Times New Roman" w:cs="Times New Roman"/>
          <w:szCs w:val="20"/>
        </w:rPr>
        <w:t>tonni</w:t>
      </w:r>
      <w:r w:rsidR="008A3CE5" w:rsidRPr="00670500">
        <w:rPr>
          <w:rFonts w:eastAsia="Times New Roman" w:cs="Times New Roman"/>
          <w:szCs w:val="20"/>
        </w:rPr>
        <w:t xml:space="preserve"> lõhkeaine kohta CO</w:t>
      </w:r>
      <w:r w:rsidR="008A3CE5">
        <w:rPr>
          <w:rFonts w:eastAsia="Times New Roman" w:cs="Times New Roman"/>
          <w:szCs w:val="20"/>
        </w:rPr>
        <w:t> </w:t>
      </w:r>
      <w:r w:rsidR="008A3CE5">
        <w:rPr>
          <w:rFonts w:eastAsia="Times New Roman" w:cs="Times New Roman"/>
          <w:szCs w:val="20"/>
        </w:rPr>
        <w:noBreakHyphen/>
        <w:t> 34 k</w:t>
      </w:r>
      <w:r w:rsidR="008A3CE5" w:rsidRPr="00670500">
        <w:rPr>
          <w:rFonts w:eastAsia="Times New Roman" w:cs="Times New Roman"/>
          <w:szCs w:val="20"/>
        </w:rPr>
        <w:t>g/</w:t>
      </w:r>
      <w:r w:rsidR="008A3CE5">
        <w:rPr>
          <w:rFonts w:eastAsia="Times New Roman" w:cs="Times New Roman"/>
          <w:szCs w:val="20"/>
        </w:rPr>
        <w:t>t,</w:t>
      </w:r>
      <w:r w:rsidR="008A3CE5" w:rsidRPr="00106784">
        <w:rPr>
          <w:rFonts w:eastAsia="Times New Roman" w:cs="Times New Roman"/>
          <w:szCs w:val="20"/>
        </w:rPr>
        <w:t xml:space="preserve"> </w:t>
      </w:r>
      <w:r w:rsidR="008A3CE5" w:rsidRPr="00FB7466">
        <w:rPr>
          <w:rFonts w:eastAsia="Times New Roman" w:cs="Times New Roman"/>
          <w:szCs w:val="20"/>
        </w:rPr>
        <w:t>NO</w:t>
      </w:r>
      <w:r w:rsidR="008A3CE5" w:rsidRPr="005B0DB7">
        <w:rPr>
          <w:rFonts w:eastAsia="Times New Roman" w:cs="Times New Roman"/>
          <w:szCs w:val="20"/>
          <w:vertAlign w:val="subscript"/>
        </w:rPr>
        <w:t>x</w:t>
      </w:r>
      <w:r w:rsidR="008A3CE5">
        <w:rPr>
          <w:rFonts w:eastAsia="Times New Roman" w:cs="Times New Roman"/>
          <w:szCs w:val="20"/>
        </w:rPr>
        <w:t> </w:t>
      </w:r>
      <w:r w:rsidR="008A3CE5">
        <w:rPr>
          <w:rFonts w:eastAsia="Times New Roman" w:cs="Times New Roman"/>
          <w:szCs w:val="20"/>
        </w:rPr>
        <w:noBreakHyphen/>
        <w:t xml:space="preserve"> 8 kg/t ja SO</w:t>
      </w:r>
      <w:r w:rsidR="008A3CE5" w:rsidRPr="000B6609">
        <w:rPr>
          <w:rFonts w:eastAsia="Times New Roman" w:cs="Times New Roman"/>
          <w:szCs w:val="20"/>
          <w:vertAlign w:val="subscript"/>
        </w:rPr>
        <w:t>2</w:t>
      </w:r>
      <w:r w:rsidR="008A3CE5">
        <w:rPr>
          <w:rFonts w:eastAsia="Times New Roman" w:cs="Times New Roman"/>
          <w:szCs w:val="20"/>
        </w:rPr>
        <w:t xml:space="preserve"> - 1 kg/t.</w:t>
      </w:r>
    </w:p>
    <w:p w14:paraId="383292D5" w14:textId="5A9CC29A" w:rsidR="00103B4D" w:rsidRDefault="00103B4D" w:rsidP="008A3CE5">
      <w:pPr>
        <w:jc w:val="both"/>
        <w:rPr>
          <w:rFonts w:eastAsia="Times New Roman" w:cs="Times New Roman"/>
          <w:szCs w:val="20"/>
        </w:rPr>
      </w:pPr>
    </w:p>
    <w:p w14:paraId="3BB6558D" w14:textId="13F85070" w:rsidR="00670500" w:rsidRPr="00670500" w:rsidRDefault="00670500" w:rsidP="00670500">
      <w:pPr>
        <w:rPr>
          <w:rFonts w:eastAsia="Times New Roman" w:cs="Times New Roman"/>
          <w:szCs w:val="20"/>
        </w:rPr>
      </w:pPr>
      <w:r w:rsidRPr="00670500">
        <w:rPr>
          <w:rFonts w:eastAsia="Times New Roman" w:cs="Times New Roman"/>
          <w:szCs w:val="20"/>
        </w:rPr>
        <w:t>Arvestades aastast lõhkeaine kulu, saame põlemisgaaside aastasteks heitkogusteks:</w:t>
      </w:r>
    </w:p>
    <w:p w14:paraId="0A1D6184" w14:textId="1D4F160C" w:rsidR="00391ECC" w:rsidRPr="00581713" w:rsidRDefault="00391ECC" w:rsidP="00391ECC">
      <w:pPr>
        <w:pStyle w:val="ListParagraph"/>
        <w:numPr>
          <w:ilvl w:val="0"/>
          <w:numId w:val="3"/>
        </w:num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CO</w:t>
      </w:r>
      <w:r w:rsidRPr="00581713">
        <w:rPr>
          <w:rFonts w:eastAsia="Times New Roman" w:cs="Times New Roman"/>
          <w:szCs w:val="20"/>
        </w:rPr>
        <w:t xml:space="preserve"> = </w:t>
      </w:r>
      <w:r>
        <w:rPr>
          <w:rFonts w:eastAsia="Times New Roman" w:cs="Times New Roman"/>
          <w:szCs w:val="20"/>
        </w:rPr>
        <w:t xml:space="preserve">34 </w:t>
      </w:r>
      <w:r w:rsidRPr="00581713">
        <w:rPr>
          <w:rFonts w:eastAsia="Times New Roman" w:cs="Times New Roman"/>
          <w:szCs w:val="20"/>
        </w:rPr>
        <w:t>kg</w:t>
      </w:r>
      <w:r>
        <w:rPr>
          <w:rFonts w:eastAsia="Times New Roman" w:cs="Times New Roman"/>
          <w:szCs w:val="20"/>
        </w:rPr>
        <w:t>/t</w:t>
      </w:r>
      <w:r w:rsidRPr="00581713">
        <w:rPr>
          <w:rFonts w:eastAsia="Times New Roman" w:cs="Times New Roman"/>
          <w:szCs w:val="20"/>
        </w:rPr>
        <w:t xml:space="preserve"> </w:t>
      </w:r>
      <w:r w:rsidRPr="00581713">
        <w:rPr>
          <w:rFonts w:ascii="Arial" w:eastAsia="Times New Roman" w:hAnsi="Arial" w:cs="Arial"/>
          <w:sz w:val="20"/>
          <w:szCs w:val="16"/>
        </w:rPr>
        <w:t>x</w:t>
      </w:r>
      <w:r w:rsidRPr="00581713">
        <w:rPr>
          <w:rFonts w:eastAsia="Times New Roman" w:cs="Times New Roman"/>
          <w:szCs w:val="20"/>
        </w:rPr>
        <w:t xml:space="preserve"> </w:t>
      </w:r>
      <w:r w:rsidR="00976D38">
        <w:rPr>
          <w:rFonts w:eastAsia="Times New Roman" w:cs="Times New Roman"/>
          <w:szCs w:val="20"/>
        </w:rPr>
        <w:t>38,3</w:t>
      </w:r>
      <w:r>
        <w:rPr>
          <w:rFonts w:eastAsia="Times New Roman" w:cs="Times New Roman"/>
          <w:szCs w:val="20"/>
        </w:rPr>
        <w:t xml:space="preserve"> t</w:t>
      </w:r>
      <w:r w:rsidRPr="00581713">
        <w:rPr>
          <w:rFonts w:eastAsia="Times New Roman" w:cs="Times New Roman"/>
          <w:szCs w:val="20"/>
        </w:rPr>
        <w:t xml:space="preserve"> = </w:t>
      </w:r>
      <w:r w:rsidR="00ED5C24">
        <w:rPr>
          <w:rFonts w:eastAsia="Times New Roman" w:cs="Times New Roman"/>
          <w:szCs w:val="20"/>
        </w:rPr>
        <w:t>1</w:t>
      </w:r>
      <w:r w:rsidR="006F7B0F">
        <w:rPr>
          <w:rFonts w:eastAsia="Times New Roman" w:cs="Times New Roman"/>
          <w:szCs w:val="20"/>
        </w:rPr>
        <w:t xml:space="preserve"> </w:t>
      </w:r>
      <w:r w:rsidR="00E806F7">
        <w:rPr>
          <w:rFonts w:eastAsia="Times New Roman" w:cs="Times New Roman"/>
          <w:szCs w:val="20"/>
        </w:rPr>
        <w:t>301</w:t>
      </w:r>
      <w:r>
        <w:rPr>
          <w:rFonts w:eastAsia="Times New Roman" w:cs="Times New Roman"/>
          <w:szCs w:val="20"/>
        </w:rPr>
        <w:t xml:space="preserve"> kg/a = </w:t>
      </w:r>
      <w:r w:rsidR="00ED5C24">
        <w:rPr>
          <w:rFonts w:eastAsia="Times New Roman" w:cs="Times New Roman"/>
          <w:szCs w:val="20"/>
        </w:rPr>
        <w:t>1</w:t>
      </w:r>
      <w:r>
        <w:rPr>
          <w:rFonts w:eastAsia="Times New Roman" w:cs="Times New Roman"/>
          <w:szCs w:val="20"/>
        </w:rPr>
        <w:t>,</w:t>
      </w:r>
      <w:r w:rsidR="0095165F">
        <w:rPr>
          <w:rFonts w:eastAsia="Times New Roman" w:cs="Times New Roman"/>
          <w:szCs w:val="20"/>
        </w:rPr>
        <w:t>301</w:t>
      </w:r>
      <w:r w:rsidRPr="00581713">
        <w:rPr>
          <w:rFonts w:eastAsia="Times New Roman" w:cs="Times New Roman"/>
          <w:szCs w:val="20"/>
        </w:rPr>
        <w:t xml:space="preserve"> t/a</w:t>
      </w:r>
      <w:r>
        <w:rPr>
          <w:rFonts w:eastAsia="Times New Roman" w:cs="Times New Roman"/>
          <w:szCs w:val="20"/>
        </w:rPr>
        <w:t>;</w:t>
      </w:r>
    </w:p>
    <w:p w14:paraId="2432B416" w14:textId="6277D46D" w:rsidR="00391ECC" w:rsidRDefault="00391ECC" w:rsidP="00391ECC">
      <w:pPr>
        <w:pStyle w:val="ListParagraph"/>
        <w:numPr>
          <w:ilvl w:val="0"/>
          <w:numId w:val="3"/>
        </w:numPr>
        <w:rPr>
          <w:rFonts w:eastAsia="Times New Roman" w:cs="Times New Roman"/>
          <w:szCs w:val="20"/>
        </w:rPr>
      </w:pPr>
      <w:r w:rsidRPr="00581713">
        <w:rPr>
          <w:rFonts w:eastAsia="Times New Roman" w:cs="Times New Roman"/>
          <w:szCs w:val="20"/>
        </w:rPr>
        <w:t>NO</w:t>
      </w:r>
      <w:r w:rsidRPr="00FB7466">
        <w:rPr>
          <w:rFonts w:eastAsia="Times New Roman" w:cs="Times New Roman"/>
          <w:szCs w:val="20"/>
          <w:vertAlign w:val="subscript"/>
        </w:rPr>
        <w:t>x</w:t>
      </w:r>
      <w:r w:rsidRPr="00581713">
        <w:rPr>
          <w:rFonts w:eastAsia="Times New Roman" w:cs="Times New Roman"/>
          <w:szCs w:val="20"/>
        </w:rPr>
        <w:t xml:space="preserve"> = </w:t>
      </w:r>
      <w:r>
        <w:rPr>
          <w:rFonts w:eastAsia="Times New Roman" w:cs="Times New Roman"/>
          <w:szCs w:val="20"/>
        </w:rPr>
        <w:t xml:space="preserve">8 </w:t>
      </w:r>
      <w:r w:rsidRPr="00581713">
        <w:rPr>
          <w:rFonts w:eastAsia="Times New Roman" w:cs="Times New Roman"/>
          <w:szCs w:val="20"/>
        </w:rPr>
        <w:t>kg</w:t>
      </w:r>
      <w:r>
        <w:rPr>
          <w:rFonts w:eastAsia="Times New Roman" w:cs="Times New Roman"/>
          <w:szCs w:val="20"/>
        </w:rPr>
        <w:t>/t</w:t>
      </w:r>
      <w:r w:rsidRPr="00581713">
        <w:rPr>
          <w:rFonts w:eastAsia="Times New Roman" w:cs="Times New Roman"/>
          <w:szCs w:val="20"/>
        </w:rPr>
        <w:t xml:space="preserve"> </w:t>
      </w:r>
      <w:r w:rsidRPr="00581713">
        <w:rPr>
          <w:rFonts w:ascii="Arial" w:eastAsia="Times New Roman" w:hAnsi="Arial" w:cs="Arial"/>
          <w:sz w:val="20"/>
          <w:szCs w:val="16"/>
        </w:rPr>
        <w:t>x</w:t>
      </w:r>
      <w:r w:rsidRPr="00581713">
        <w:rPr>
          <w:rFonts w:eastAsia="Times New Roman" w:cs="Times New Roman"/>
          <w:szCs w:val="20"/>
        </w:rPr>
        <w:t xml:space="preserve"> </w:t>
      </w:r>
      <w:r w:rsidR="00976D38">
        <w:rPr>
          <w:rFonts w:eastAsia="Times New Roman" w:cs="Times New Roman"/>
          <w:szCs w:val="20"/>
        </w:rPr>
        <w:t>38,3</w:t>
      </w:r>
      <w:r w:rsidR="006F7B0F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t</w:t>
      </w:r>
      <w:r w:rsidRPr="00581713">
        <w:rPr>
          <w:rFonts w:eastAsia="Times New Roman" w:cs="Times New Roman"/>
          <w:szCs w:val="20"/>
        </w:rPr>
        <w:t xml:space="preserve"> = </w:t>
      </w:r>
      <w:r w:rsidR="00E806F7">
        <w:rPr>
          <w:rFonts w:eastAsia="Times New Roman" w:cs="Times New Roman"/>
          <w:szCs w:val="20"/>
        </w:rPr>
        <w:t>306</w:t>
      </w:r>
      <w:r>
        <w:rPr>
          <w:rFonts w:eastAsia="Times New Roman" w:cs="Times New Roman"/>
          <w:szCs w:val="20"/>
        </w:rPr>
        <w:t xml:space="preserve"> kg/a = 0,</w:t>
      </w:r>
      <w:r w:rsidR="000B4453">
        <w:rPr>
          <w:rFonts w:eastAsia="Times New Roman" w:cs="Times New Roman"/>
          <w:szCs w:val="20"/>
        </w:rPr>
        <w:t>3</w:t>
      </w:r>
      <w:r w:rsidR="0095165F">
        <w:rPr>
          <w:rFonts w:eastAsia="Times New Roman" w:cs="Times New Roman"/>
          <w:szCs w:val="20"/>
        </w:rPr>
        <w:t>06</w:t>
      </w:r>
      <w:r w:rsidRPr="00581713">
        <w:rPr>
          <w:rFonts w:eastAsia="Times New Roman" w:cs="Times New Roman"/>
          <w:szCs w:val="20"/>
        </w:rPr>
        <w:t xml:space="preserve"> t/a</w:t>
      </w:r>
      <w:r>
        <w:rPr>
          <w:rFonts w:eastAsia="Times New Roman" w:cs="Times New Roman"/>
          <w:szCs w:val="20"/>
        </w:rPr>
        <w:t>;</w:t>
      </w:r>
    </w:p>
    <w:p w14:paraId="48336D22" w14:textId="7B92086B" w:rsidR="00391ECC" w:rsidRPr="00E65998" w:rsidRDefault="00391ECC" w:rsidP="00391ECC">
      <w:pPr>
        <w:pStyle w:val="ListParagraph"/>
        <w:numPr>
          <w:ilvl w:val="0"/>
          <w:numId w:val="3"/>
        </w:num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SO</w:t>
      </w:r>
      <w:r>
        <w:rPr>
          <w:rFonts w:eastAsia="Times New Roman" w:cs="Times New Roman"/>
          <w:szCs w:val="20"/>
          <w:vertAlign w:val="subscript"/>
        </w:rPr>
        <w:t>2</w:t>
      </w:r>
      <w:r w:rsidRPr="00581713">
        <w:rPr>
          <w:rFonts w:eastAsia="Times New Roman" w:cs="Times New Roman"/>
          <w:szCs w:val="20"/>
        </w:rPr>
        <w:t xml:space="preserve"> = </w:t>
      </w:r>
      <w:r>
        <w:rPr>
          <w:rFonts w:eastAsia="Times New Roman" w:cs="Times New Roman"/>
          <w:szCs w:val="20"/>
        </w:rPr>
        <w:t xml:space="preserve">1 </w:t>
      </w:r>
      <w:r w:rsidRPr="00581713">
        <w:rPr>
          <w:rFonts w:eastAsia="Times New Roman" w:cs="Times New Roman"/>
          <w:szCs w:val="20"/>
        </w:rPr>
        <w:t>kg</w:t>
      </w:r>
      <w:r>
        <w:rPr>
          <w:rFonts w:eastAsia="Times New Roman" w:cs="Times New Roman"/>
          <w:szCs w:val="20"/>
        </w:rPr>
        <w:t>/t</w:t>
      </w:r>
      <w:r w:rsidRPr="00581713">
        <w:rPr>
          <w:rFonts w:eastAsia="Times New Roman" w:cs="Times New Roman"/>
          <w:szCs w:val="20"/>
        </w:rPr>
        <w:t xml:space="preserve"> </w:t>
      </w:r>
      <w:r w:rsidRPr="00581713">
        <w:rPr>
          <w:rFonts w:ascii="Arial" w:eastAsia="Times New Roman" w:hAnsi="Arial" w:cs="Arial"/>
          <w:sz w:val="20"/>
          <w:szCs w:val="16"/>
        </w:rPr>
        <w:t>x</w:t>
      </w:r>
      <w:r w:rsidRPr="00581713">
        <w:rPr>
          <w:rFonts w:eastAsia="Times New Roman" w:cs="Times New Roman"/>
          <w:szCs w:val="20"/>
        </w:rPr>
        <w:t xml:space="preserve"> </w:t>
      </w:r>
      <w:r w:rsidR="00976D38">
        <w:rPr>
          <w:rFonts w:eastAsia="Times New Roman" w:cs="Times New Roman"/>
          <w:szCs w:val="20"/>
        </w:rPr>
        <w:t>38,3</w:t>
      </w:r>
      <w:r>
        <w:rPr>
          <w:rFonts w:eastAsia="Times New Roman" w:cs="Times New Roman"/>
          <w:szCs w:val="20"/>
        </w:rPr>
        <w:t xml:space="preserve"> t</w:t>
      </w:r>
      <w:r w:rsidRPr="00581713">
        <w:rPr>
          <w:rFonts w:eastAsia="Times New Roman" w:cs="Times New Roman"/>
          <w:szCs w:val="20"/>
        </w:rPr>
        <w:t xml:space="preserve"> = </w:t>
      </w:r>
      <w:r w:rsidR="00E806F7">
        <w:rPr>
          <w:rFonts w:eastAsia="Times New Roman" w:cs="Times New Roman"/>
          <w:szCs w:val="20"/>
        </w:rPr>
        <w:t>38</w:t>
      </w:r>
      <w:r>
        <w:rPr>
          <w:rFonts w:eastAsia="Times New Roman" w:cs="Times New Roman"/>
          <w:szCs w:val="20"/>
        </w:rPr>
        <w:t xml:space="preserve"> kg/a = 0,</w:t>
      </w:r>
      <w:r w:rsidR="009968E7">
        <w:rPr>
          <w:rFonts w:eastAsia="Times New Roman" w:cs="Times New Roman"/>
          <w:szCs w:val="20"/>
        </w:rPr>
        <w:t>038</w:t>
      </w:r>
      <w:r w:rsidRPr="00581713">
        <w:rPr>
          <w:rFonts w:eastAsia="Times New Roman" w:cs="Times New Roman"/>
          <w:szCs w:val="20"/>
        </w:rPr>
        <w:t xml:space="preserve"> t/a</w:t>
      </w:r>
      <w:r>
        <w:rPr>
          <w:rFonts w:eastAsia="Times New Roman" w:cs="Times New Roman"/>
          <w:szCs w:val="20"/>
        </w:rPr>
        <w:t>.</w:t>
      </w:r>
    </w:p>
    <w:p w14:paraId="4FDAD617" w14:textId="77777777" w:rsidR="0051080B" w:rsidRPr="00670500" w:rsidRDefault="0051080B" w:rsidP="00670500">
      <w:pPr>
        <w:rPr>
          <w:rFonts w:eastAsia="Times New Roman" w:cs="Times New Roman"/>
          <w:szCs w:val="20"/>
        </w:rPr>
      </w:pPr>
    </w:p>
    <w:p w14:paraId="1167A695" w14:textId="21B9896E" w:rsidR="00670500" w:rsidRDefault="00670500" w:rsidP="0051080B">
      <w:pPr>
        <w:jc w:val="both"/>
        <w:rPr>
          <w:rFonts w:eastAsia="Times New Roman" w:cs="Times New Roman"/>
          <w:szCs w:val="20"/>
        </w:rPr>
      </w:pPr>
      <w:r w:rsidRPr="00B17EE0">
        <w:rPr>
          <w:rFonts w:eastAsia="Times New Roman" w:cs="Times New Roman"/>
          <w:color w:val="000000" w:themeColor="text1"/>
          <w:szCs w:val="20"/>
        </w:rPr>
        <w:t xml:space="preserve">Lõhkamisel eralduvad põlemisgaasid </w:t>
      </w:r>
      <w:r w:rsidR="001C6F25" w:rsidRPr="00B17EE0">
        <w:rPr>
          <w:rFonts w:eastAsia="Times New Roman" w:cs="Times New Roman"/>
          <w:color w:val="000000" w:themeColor="text1"/>
          <w:szCs w:val="20"/>
        </w:rPr>
        <w:t xml:space="preserve">ja tolm </w:t>
      </w:r>
      <w:r w:rsidR="008F2D4D" w:rsidRPr="00B17EE0">
        <w:rPr>
          <w:rFonts w:eastAsia="Times New Roman" w:cs="Times New Roman"/>
          <w:color w:val="000000" w:themeColor="text1"/>
          <w:szCs w:val="20"/>
        </w:rPr>
        <w:t xml:space="preserve">esinevaid </w:t>
      </w:r>
      <w:r w:rsidR="00D6653E" w:rsidRPr="00B17EE0">
        <w:rPr>
          <w:rFonts w:eastAsia="Times New Roman" w:cs="Times New Roman"/>
          <w:color w:val="000000" w:themeColor="text1"/>
          <w:szCs w:val="20"/>
        </w:rPr>
        <w:t xml:space="preserve">samuti </w:t>
      </w:r>
      <w:r w:rsidR="008F2D4D" w:rsidRPr="00B17EE0">
        <w:rPr>
          <w:rFonts w:eastAsia="Times New Roman" w:cs="Times New Roman"/>
          <w:color w:val="000000" w:themeColor="text1"/>
          <w:szCs w:val="20"/>
        </w:rPr>
        <w:t xml:space="preserve">vaid </w:t>
      </w:r>
      <w:r w:rsidRPr="00B17EE0">
        <w:rPr>
          <w:rFonts w:eastAsia="Times New Roman" w:cs="Times New Roman"/>
          <w:color w:val="000000" w:themeColor="text1"/>
          <w:szCs w:val="20"/>
        </w:rPr>
        <w:t xml:space="preserve">lõhkamise hetkel ja väga lühiajaliselt - </w:t>
      </w:r>
      <w:r w:rsidR="008F2D4D" w:rsidRPr="00B17EE0">
        <w:rPr>
          <w:rFonts w:eastAsia="Times New Roman" w:cs="Times New Roman"/>
          <w:color w:val="000000" w:themeColor="text1"/>
          <w:szCs w:val="20"/>
        </w:rPr>
        <w:t xml:space="preserve">valdavalt </w:t>
      </w:r>
      <w:r w:rsidRPr="00B17EE0">
        <w:rPr>
          <w:rFonts w:eastAsia="Times New Roman" w:cs="Times New Roman"/>
          <w:color w:val="000000" w:themeColor="text1"/>
          <w:szCs w:val="20"/>
        </w:rPr>
        <w:t>mõne</w:t>
      </w:r>
      <w:r w:rsidR="0051080B" w:rsidRPr="00B17EE0">
        <w:rPr>
          <w:rFonts w:eastAsia="Times New Roman" w:cs="Times New Roman"/>
          <w:color w:val="000000" w:themeColor="text1"/>
          <w:szCs w:val="20"/>
        </w:rPr>
        <w:t xml:space="preserve"> </w:t>
      </w:r>
      <w:r w:rsidRPr="00B17EE0">
        <w:rPr>
          <w:rFonts w:eastAsia="Times New Roman" w:cs="Times New Roman"/>
          <w:color w:val="000000" w:themeColor="text1"/>
          <w:szCs w:val="20"/>
        </w:rPr>
        <w:t>sekundi jooksul, pärast mida saasteaineid ju</w:t>
      </w:r>
      <w:r w:rsidRPr="00670500">
        <w:rPr>
          <w:rFonts w:eastAsia="Times New Roman" w:cs="Times New Roman"/>
          <w:szCs w:val="20"/>
        </w:rPr>
        <w:t>urde ei teki</w:t>
      </w:r>
      <w:r w:rsidR="003F7775">
        <w:rPr>
          <w:rFonts w:eastAsia="Times New Roman" w:cs="Times New Roman"/>
          <w:szCs w:val="20"/>
        </w:rPr>
        <w:t>.</w:t>
      </w:r>
      <w:r w:rsidR="00883F90">
        <w:rPr>
          <w:rFonts w:eastAsia="Times New Roman" w:cs="Times New Roman"/>
          <w:szCs w:val="20"/>
        </w:rPr>
        <w:t xml:space="preserve"> Seetõttu </w:t>
      </w:r>
      <w:r w:rsidR="003F7775">
        <w:rPr>
          <w:rFonts w:eastAsia="Times New Roman" w:cs="Times New Roman"/>
          <w:szCs w:val="20"/>
        </w:rPr>
        <w:t xml:space="preserve">on </w:t>
      </w:r>
      <w:r w:rsidR="003F7775">
        <w:rPr>
          <w:rFonts w:eastAsia="Times New Roman" w:cs="Times New Roman"/>
          <w:szCs w:val="20"/>
        </w:rPr>
        <w:lastRenderedPageBreak/>
        <w:t>tegemist kontrollimatu väga lühiajalise heitega.</w:t>
      </w:r>
      <w:r w:rsidR="00883F90">
        <w:rPr>
          <w:rFonts w:eastAsia="Times New Roman" w:cs="Times New Roman"/>
          <w:szCs w:val="20"/>
        </w:rPr>
        <w:t xml:space="preserve"> </w:t>
      </w:r>
      <w:r w:rsidR="0076528F">
        <w:rPr>
          <w:rFonts w:eastAsia="Times New Roman" w:cs="Times New Roman"/>
          <w:szCs w:val="20"/>
        </w:rPr>
        <w:t>L</w:t>
      </w:r>
      <w:r w:rsidRPr="00670500">
        <w:rPr>
          <w:rFonts w:eastAsia="Times New Roman" w:cs="Times New Roman"/>
          <w:szCs w:val="20"/>
        </w:rPr>
        <w:t>õhketööde teostamise</w:t>
      </w:r>
      <w:r w:rsidR="0051080B">
        <w:rPr>
          <w:rFonts w:eastAsia="Times New Roman" w:cs="Times New Roman"/>
          <w:szCs w:val="20"/>
        </w:rPr>
        <w:t xml:space="preserve"> </w:t>
      </w:r>
      <w:r w:rsidRPr="00670500">
        <w:rPr>
          <w:rFonts w:eastAsia="Times New Roman" w:cs="Times New Roman"/>
          <w:szCs w:val="20"/>
        </w:rPr>
        <w:t>ajal</w:t>
      </w:r>
      <w:r w:rsidR="00495254">
        <w:rPr>
          <w:rFonts w:eastAsia="Times New Roman" w:cs="Times New Roman"/>
          <w:szCs w:val="20"/>
        </w:rPr>
        <w:t xml:space="preserve"> on</w:t>
      </w:r>
      <w:r w:rsidRPr="00670500">
        <w:rPr>
          <w:rFonts w:eastAsia="Times New Roman" w:cs="Times New Roman"/>
          <w:szCs w:val="20"/>
        </w:rPr>
        <w:t xml:space="preserve"> muud karjääri tööd peatatud ning teistest </w:t>
      </w:r>
      <w:r w:rsidR="006C6226">
        <w:rPr>
          <w:rFonts w:eastAsia="Times New Roman" w:cs="Times New Roman"/>
          <w:szCs w:val="20"/>
        </w:rPr>
        <w:t>heite</w:t>
      </w:r>
      <w:r w:rsidRPr="00670500">
        <w:rPr>
          <w:rFonts w:eastAsia="Times New Roman" w:cs="Times New Roman"/>
          <w:szCs w:val="20"/>
        </w:rPr>
        <w:t>allikatest</w:t>
      </w:r>
      <w:r w:rsidR="006C6226">
        <w:rPr>
          <w:rFonts w:eastAsia="Times New Roman" w:cs="Times New Roman"/>
          <w:szCs w:val="20"/>
        </w:rPr>
        <w:t xml:space="preserve"> </w:t>
      </w:r>
      <w:r w:rsidRPr="00670500">
        <w:rPr>
          <w:rFonts w:eastAsia="Times New Roman" w:cs="Times New Roman"/>
          <w:szCs w:val="20"/>
        </w:rPr>
        <w:t>täiendavaid heitkoguseid ei</w:t>
      </w:r>
      <w:r w:rsidR="0051080B">
        <w:rPr>
          <w:rFonts w:eastAsia="Times New Roman" w:cs="Times New Roman"/>
          <w:szCs w:val="20"/>
        </w:rPr>
        <w:t xml:space="preserve"> </w:t>
      </w:r>
      <w:r w:rsidRPr="00670500">
        <w:rPr>
          <w:rFonts w:eastAsia="Times New Roman" w:cs="Times New Roman"/>
          <w:szCs w:val="20"/>
        </w:rPr>
        <w:t>lisandu.</w:t>
      </w:r>
    </w:p>
    <w:p w14:paraId="3C86F1DD" w14:textId="20AA818E" w:rsidR="0076528F" w:rsidRDefault="0076528F" w:rsidP="0051080B">
      <w:pPr>
        <w:jc w:val="both"/>
        <w:rPr>
          <w:rFonts w:eastAsia="Times New Roman" w:cs="Times New Roman"/>
          <w:szCs w:val="20"/>
        </w:rPr>
      </w:pPr>
    </w:p>
    <w:p w14:paraId="4838F2BC" w14:textId="52AD6FEC" w:rsidR="0076528F" w:rsidRDefault="00AF1383" w:rsidP="0051080B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Arvestades</w:t>
      </w:r>
      <w:r w:rsidR="00CA58CE">
        <w:rPr>
          <w:rFonts w:eastAsia="Times New Roman" w:cs="Times New Roman"/>
          <w:szCs w:val="20"/>
        </w:rPr>
        <w:t xml:space="preserve">, et </w:t>
      </w:r>
      <w:r w:rsidR="003F7775">
        <w:rPr>
          <w:rFonts w:eastAsia="Times New Roman" w:cs="Times New Roman"/>
          <w:szCs w:val="20"/>
        </w:rPr>
        <w:t xml:space="preserve">lühiviitlõhkamisel </w:t>
      </w:r>
      <w:r w:rsidR="00F371F0">
        <w:rPr>
          <w:rFonts w:eastAsia="Times New Roman" w:cs="Times New Roman"/>
          <w:szCs w:val="20"/>
        </w:rPr>
        <w:t xml:space="preserve">toimub </w:t>
      </w:r>
      <w:r w:rsidR="004A0F1C">
        <w:rPr>
          <w:rFonts w:eastAsia="Times New Roman" w:cs="Times New Roman"/>
          <w:szCs w:val="20"/>
        </w:rPr>
        <w:t>s</w:t>
      </w:r>
      <w:r w:rsidR="00AD4F6A">
        <w:rPr>
          <w:rFonts w:eastAsia="Times New Roman" w:cs="Times New Roman"/>
          <w:szCs w:val="20"/>
        </w:rPr>
        <w:t xml:space="preserve">aasteainete </w:t>
      </w:r>
      <w:r w:rsidR="003F7775">
        <w:rPr>
          <w:rFonts w:eastAsia="Times New Roman" w:cs="Times New Roman"/>
          <w:szCs w:val="20"/>
        </w:rPr>
        <w:t xml:space="preserve">eraldumine umbes </w:t>
      </w:r>
      <w:r>
        <w:rPr>
          <w:rFonts w:eastAsia="Times New Roman" w:cs="Times New Roman"/>
          <w:szCs w:val="20"/>
        </w:rPr>
        <w:t>5</w:t>
      </w:r>
      <w:r w:rsidR="004A0F1C">
        <w:rPr>
          <w:rFonts w:eastAsia="Times New Roman" w:cs="Times New Roman"/>
          <w:szCs w:val="20"/>
        </w:rPr>
        <w:t xml:space="preserve"> </w:t>
      </w:r>
      <w:r w:rsidR="003F7775">
        <w:rPr>
          <w:rFonts w:eastAsia="Times New Roman" w:cs="Times New Roman"/>
          <w:szCs w:val="20"/>
        </w:rPr>
        <w:t>sekundi jooksul</w:t>
      </w:r>
      <w:r w:rsidR="00953F35">
        <w:rPr>
          <w:rFonts w:eastAsia="Times New Roman" w:cs="Times New Roman"/>
          <w:szCs w:val="20"/>
        </w:rPr>
        <w:t xml:space="preserve"> </w:t>
      </w:r>
      <w:r w:rsidR="00C02EDB">
        <w:rPr>
          <w:rFonts w:eastAsia="Times New Roman" w:cs="Times New Roman"/>
          <w:szCs w:val="20"/>
        </w:rPr>
        <w:t xml:space="preserve">ehk aastas kokku </w:t>
      </w:r>
      <w:r w:rsidR="00D24980">
        <w:rPr>
          <w:rFonts w:eastAsia="Times New Roman" w:cs="Times New Roman"/>
          <w:szCs w:val="20"/>
        </w:rPr>
        <w:t>8</w:t>
      </w:r>
      <w:r w:rsidR="00965D35">
        <w:rPr>
          <w:rFonts w:eastAsia="Times New Roman" w:cs="Times New Roman"/>
          <w:szCs w:val="20"/>
        </w:rPr>
        <w:t>5</w:t>
      </w:r>
      <w:r w:rsidR="00366EDA">
        <w:rPr>
          <w:rFonts w:eastAsia="Times New Roman" w:cs="Times New Roman"/>
          <w:szCs w:val="20"/>
        </w:rPr>
        <w:t xml:space="preserve"> sekundi jooksul</w:t>
      </w:r>
      <w:r w:rsidR="00503322">
        <w:rPr>
          <w:rFonts w:eastAsia="Times New Roman" w:cs="Times New Roman"/>
          <w:szCs w:val="20"/>
        </w:rPr>
        <w:t>,</w:t>
      </w:r>
      <w:r w:rsidR="00503322" w:rsidRPr="00503322">
        <w:rPr>
          <w:rFonts w:eastAsia="Times New Roman" w:cs="Times New Roman"/>
          <w:szCs w:val="20"/>
        </w:rPr>
        <w:t xml:space="preserve"> </w:t>
      </w:r>
      <w:r w:rsidR="00503322">
        <w:rPr>
          <w:rFonts w:eastAsia="Times New Roman" w:cs="Times New Roman"/>
          <w:szCs w:val="20"/>
        </w:rPr>
        <w:t xml:space="preserve">moodustavad lõhketööde heited heiteallika tööajalisest dünaamikast kaduvväikese osa. </w:t>
      </w:r>
      <w:r w:rsidR="0044500B">
        <w:rPr>
          <w:rFonts w:eastAsia="Times New Roman" w:cs="Times New Roman"/>
          <w:szCs w:val="20"/>
        </w:rPr>
        <w:t xml:space="preserve">Võttes aluseks </w:t>
      </w:r>
      <w:r w:rsidR="00B05887">
        <w:rPr>
          <w:rFonts w:eastAsia="Times New Roman" w:cs="Times New Roman"/>
          <w:szCs w:val="20"/>
        </w:rPr>
        <w:t xml:space="preserve">eelpool leitud </w:t>
      </w:r>
      <w:r w:rsidR="0044500B">
        <w:rPr>
          <w:rFonts w:eastAsia="Times New Roman" w:cs="Times New Roman"/>
          <w:szCs w:val="20"/>
        </w:rPr>
        <w:t xml:space="preserve">aastased </w:t>
      </w:r>
      <w:r w:rsidR="00581713">
        <w:rPr>
          <w:rFonts w:eastAsia="Times New Roman" w:cs="Times New Roman"/>
          <w:szCs w:val="20"/>
        </w:rPr>
        <w:t>heitkoguse</w:t>
      </w:r>
      <w:r w:rsidR="00C65853">
        <w:rPr>
          <w:rFonts w:eastAsia="Times New Roman" w:cs="Times New Roman"/>
          <w:szCs w:val="20"/>
        </w:rPr>
        <w:t xml:space="preserve">d, </w:t>
      </w:r>
      <w:r w:rsidR="003A1AFD">
        <w:rPr>
          <w:rFonts w:eastAsia="Times New Roman" w:cs="Times New Roman"/>
          <w:szCs w:val="20"/>
        </w:rPr>
        <w:t xml:space="preserve">kujuneksid lõhkamisega kaasnevad tunnikeskmised maksimaalsed heitkogused </w:t>
      </w:r>
      <w:r w:rsidR="009F4F08">
        <w:rPr>
          <w:rFonts w:eastAsia="Times New Roman" w:cs="Times New Roman"/>
          <w:szCs w:val="20"/>
        </w:rPr>
        <w:t>järgmiselt:</w:t>
      </w:r>
    </w:p>
    <w:p w14:paraId="230657CD" w14:textId="77777777" w:rsidR="00AF1383" w:rsidRDefault="00AF1383" w:rsidP="0051080B">
      <w:pPr>
        <w:jc w:val="both"/>
        <w:rPr>
          <w:rFonts w:eastAsia="Times New Roman" w:cs="Times New Roman"/>
          <w:szCs w:val="20"/>
        </w:rPr>
      </w:pPr>
    </w:p>
    <w:p w14:paraId="6CD62DF1" w14:textId="1BA8498B" w:rsidR="00581713" w:rsidRDefault="00BA044D" w:rsidP="00581713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PM-sum</w:t>
      </w:r>
      <w:r w:rsidR="00734141">
        <w:rPr>
          <w:rFonts w:eastAsia="Times New Roman" w:cs="Times New Roman"/>
          <w:szCs w:val="20"/>
        </w:rPr>
        <w:t xml:space="preserve"> = </w:t>
      </w:r>
      <w:r w:rsidR="00B90283">
        <w:rPr>
          <w:rFonts w:eastAsia="Times New Roman" w:cs="Times New Roman"/>
          <w:szCs w:val="20"/>
        </w:rPr>
        <w:t>5</w:t>
      </w:r>
      <w:r w:rsidR="00EA7F98">
        <w:rPr>
          <w:rFonts w:eastAsia="Times New Roman" w:cs="Times New Roman"/>
          <w:szCs w:val="20"/>
        </w:rPr>
        <w:t>8</w:t>
      </w:r>
      <w:r w:rsidR="00CF45AB">
        <w:rPr>
          <w:rFonts w:eastAsia="Times New Roman" w:cs="Times New Roman"/>
          <w:szCs w:val="20"/>
        </w:rPr>
        <w:t xml:space="preserve"> </w:t>
      </w:r>
      <w:r w:rsidR="00CF45AB" w:rsidRPr="00581713">
        <w:rPr>
          <w:rFonts w:ascii="Arial" w:eastAsia="Times New Roman" w:hAnsi="Arial" w:cs="Arial"/>
          <w:sz w:val="20"/>
          <w:szCs w:val="16"/>
        </w:rPr>
        <w:t>x</w:t>
      </w:r>
      <w:r w:rsidR="00CF45AB">
        <w:rPr>
          <w:rFonts w:eastAsia="Times New Roman" w:cs="Times New Roman"/>
          <w:szCs w:val="20"/>
        </w:rPr>
        <w:t xml:space="preserve"> 1</w:t>
      </w:r>
      <w:r w:rsidR="00503322">
        <w:rPr>
          <w:rFonts w:eastAsia="Times New Roman" w:cs="Times New Roman"/>
          <w:szCs w:val="20"/>
        </w:rPr>
        <w:t xml:space="preserve"> </w:t>
      </w:r>
      <w:r w:rsidR="00CF45AB">
        <w:rPr>
          <w:rFonts w:eastAsia="Times New Roman" w:cs="Times New Roman"/>
          <w:szCs w:val="20"/>
        </w:rPr>
        <w:t xml:space="preserve">000 / </w:t>
      </w:r>
      <w:r w:rsidR="009968E7">
        <w:rPr>
          <w:rFonts w:eastAsia="Times New Roman" w:cs="Times New Roman"/>
          <w:szCs w:val="20"/>
        </w:rPr>
        <w:t>17</w:t>
      </w:r>
      <w:r w:rsidR="00CF45AB">
        <w:rPr>
          <w:rFonts w:eastAsia="Times New Roman" w:cs="Times New Roman"/>
          <w:szCs w:val="20"/>
        </w:rPr>
        <w:t xml:space="preserve"> / 5 </w:t>
      </w:r>
      <w:r w:rsidR="00FE15C4">
        <w:rPr>
          <w:rFonts w:ascii="Arial" w:eastAsia="Times New Roman" w:hAnsi="Arial" w:cs="Arial"/>
          <w:sz w:val="20"/>
          <w:szCs w:val="16"/>
        </w:rPr>
        <w:t>/</w:t>
      </w:r>
      <w:r w:rsidR="00734141">
        <w:rPr>
          <w:rFonts w:eastAsia="Times New Roman" w:cs="Times New Roman"/>
          <w:szCs w:val="20"/>
        </w:rPr>
        <w:t xml:space="preserve"> </w:t>
      </w:r>
      <w:r w:rsidR="00CF45AB">
        <w:rPr>
          <w:rFonts w:eastAsia="Times New Roman" w:cs="Times New Roman"/>
          <w:szCs w:val="20"/>
        </w:rPr>
        <w:t>3</w:t>
      </w:r>
      <w:r w:rsidR="00503322">
        <w:rPr>
          <w:rFonts w:eastAsia="Times New Roman" w:cs="Times New Roman"/>
          <w:szCs w:val="20"/>
        </w:rPr>
        <w:t xml:space="preserve"> </w:t>
      </w:r>
      <w:r w:rsidR="00CF45AB">
        <w:rPr>
          <w:rFonts w:eastAsia="Times New Roman" w:cs="Times New Roman"/>
          <w:szCs w:val="20"/>
        </w:rPr>
        <w:t>600</w:t>
      </w:r>
      <w:r w:rsidR="00FB6904">
        <w:rPr>
          <w:rFonts w:eastAsia="Times New Roman" w:cs="Times New Roman"/>
          <w:szCs w:val="20"/>
        </w:rPr>
        <w:t xml:space="preserve"> </w:t>
      </w:r>
      <w:r w:rsidR="00734141">
        <w:rPr>
          <w:rFonts w:eastAsia="Times New Roman" w:cs="Times New Roman"/>
          <w:szCs w:val="20"/>
        </w:rPr>
        <w:t xml:space="preserve">= </w:t>
      </w:r>
      <w:r w:rsidR="00FB6904">
        <w:rPr>
          <w:rFonts w:eastAsia="Times New Roman" w:cs="Times New Roman"/>
          <w:szCs w:val="20"/>
        </w:rPr>
        <w:t>0,</w:t>
      </w:r>
      <w:r w:rsidR="00D05652">
        <w:rPr>
          <w:rFonts w:eastAsia="Times New Roman" w:cs="Times New Roman"/>
          <w:szCs w:val="20"/>
        </w:rPr>
        <w:t>189</w:t>
      </w:r>
      <w:r w:rsidR="00110C79">
        <w:rPr>
          <w:rFonts w:eastAsia="Times New Roman" w:cs="Times New Roman"/>
          <w:szCs w:val="20"/>
        </w:rPr>
        <w:t xml:space="preserve"> g/s;</w:t>
      </w:r>
    </w:p>
    <w:p w14:paraId="2288BC63" w14:textId="5C6ABE63" w:rsidR="00E1717C" w:rsidRDefault="00E1717C" w:rsidP="00581713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</w:t>
      </w:r>
      <w:r w:rsidRPr="00E1717C">
        <w:rPr>
          <w:rFonts w:eastAsia="Times New Roman" w:cs="Times New Roman"/>
          <w:szCs w:val="20"/>
          <w:vertAlign w:val="subscript"/>
        </w:rPr>
        <w:t>10</w:t>
      </w:r>
      <w:r>
        <w:rPr>
          <w:rFonts w:eastAsia="Times New Roman" w:cs="Times New Roman"/>
          <w:szCs w:val="20"/>
        </w:rPr>
        <w:t xml:space="preserve"> = </w:t>
      </w:r>
      <w:r w:rsidR="00B90283">
        <w:rPr>
          <w:rFonts w:eastAsia="Times New Roman" w:cs="Times New Roman"/>
          <w:szCs w:val="20"/>
        </w:rPr>
        <w:t>3</w:t>
      </w:r>
      <w:r w:rsidR="00D62B86">
        <w:rPr>
          <w:rFonts w:eastAsia="Times New Roman" w:cs="Times New Roman"/>
          <w:szCs w:val="20"/>
        </w:rPr>
        <w:t>0</w:t>
      </w:r>
      <w:r w:rsidR="000107ED">
        <w:rPr>
          <w:rFonts w:eastAsia="Times New Roman" w:cs="Times New Roman"/>
          <w:szCs w:val="20"/>
        </w:rPr>
        <w:t xml:space="preserve"> </w:t>
      </w:r>
      <w:r w:rsidR="000107ED" w:rsidRPr="00581713">
        <w:rPr>
          <w:rFonts w:ascii="Arial" w:eastAsia="Times New Roman" w:hAnsi="Arial" w:cs="Arial"/>
          <w:sz w:val="20"/>
          <w:szCs w:val="16"/>
        </w:rPr>
        <w:t>x</w:t>
      </w:r>
      <w:r w:rsidR="000107ED">
        <w:rPr>
          <w:rFonts w:eastAsia="Times New Roman" w:cs="Times New Roman"/>
          <w:szCs w:val="20"/>
        </w:rPr>
        <w:t xml:space="preserve"> 1</w:t>
      </w:r>
      <w:r w:rsidR="00503322">
        <w:rPr>
          <w:rFonts w:eastAsia="Times New Roman" w:cs="Times New Roman"/>
          <w:szCs w:val="20"/>
        </w:rPr>
        <w:t xml:space="preserve"> </w:t>
      </w:r>
      <w:r w:rsidR="000107ED">
        <w:rPr>
          <w:rFonts w:eastAsia="Times New Roman" w:cs="Times New Roman"/>
          <w:szCs w:val="20"/>
        </w:rPr>
        <w:t xml:space="preserve">000 / </w:t>
      </w:r>
      <w:r w:rsidR="00D24980">
        <w:rPr>
          <w:rFonts w:eastAsia="Times New Roman" w:cs="Times New Roman"/>
          <w:szCs w:val="20"/>
        </w:rPr>
        <w:t>17</w:t>
      </w:r>
      <w:r w:rsidR="000107ED">
        <w:rPr>
          <w:rFonts w:eastAsia="Times New Roman" w:cs="Times New Roman"/>
          <w:szCs w:val="20"/>
        </w:rPr>
        <w:t xml:space="preserve"> / 5 </w:t>
      </w:r>
      <w:r w:rsidR="00FE15C4">
        <w:rPr>
          <w:rFonts w:ascii="Arial" w:eastAsia="Times New Roman" w:hAnsi="Arial" w:cs="Arial"/>
          <w:sz w:val="20"/>
          <w:szCs w:val="16"/>
        </w:rPr>
        <w:t>/</w:t>
      </w:r>
      <w:r w:rsidR="000107ED">
        <w:rPr>
          <w:rFonts w:eastAsia="Times New Roman" w:cs="Times New Roman"/>
          <w:szCs w:val="20"/>
        </w:rPr>
        <w:t xml:space="preserve"> 3</w:t>
      </w:r>
      <w:r w:rsidR="00503322">
        <w:rPr>
          <w:rFonts w:eastAsia="Times New Roman" w:cs="Times New Roman"/>
          <w:szCs w:val="20"/>
        </w:rPr>
        <w:t xml:space="preserve"> </w:t>
      </w:r>
      <w:r w:rsidR="000107ED">
        <w:rPr>
          <w:rFonts w:eastAsia="Times New Roman" w:cs="Times New Roman"/>
          <w:szCs w:val="20"/>
        </w:rPr>
        <w:t xml:space="preserve">600 </w:t>
      </w:r>
      <w:r>
        <w:rPr>
          <w:rFonts w:eastAsia="Times New Roman" w:cs="Times New Roman"/>
          <w:szCs w:val="20"/>
        </w:rPr>
        <w:t xml:space="preserve">= </w:t>
      </w:r>
      <w:r w:rsidR="00325552">
        <w:rPr>
          <w:rFonts w:eastAsia="Times New Roman" w:cs="Times New Roman"/>
          <w:szCs w:val="20"/>
        </w:rPr>
        <w:t>0,</w:t>
      </w:r>
      <w:r w:rsidR="008C78F1">
        <w:rPr>
          <w:rFonts w:eastAsia="Times New Roman" w:cs="Times New Roman"/>
          <w:szCs w:val="20"/>
        </w:rPr>
        <w:t>0</w:t>
      </w:r>
      <w:r w:rsidR="00D05652">
        <w:rPr>
          <w:rFonts w:eastAsia="Times New Roman" w:cs="Times New Roman"/>
          <w:szCs w:val="20"/>
        </w:rPr>
        <w:t>98</w:t>
      </w:r>
      <w:r>
        <w:rPr>
          <w:rFonts w:eastAsia="Times New Roman" w:cs="Times New Roman"/>
          <w:szCs w:val="20"/>
        </w:rPr>
        <w:t xml:space="preserve"> g/s;</w:t>
      </w:r>
    </w:p>
    <w:p w14:paraId="7706382B" w14:textId="3174640F" w:rsidR="00042B76" w:rsidRDefault="00042B76" w:rsidP="00042B7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PM</w:t>
      </w:r>
      <w:r>
        <w:rPr>
          <w:rFonts w:eastAsia="Times New Roman" w:cs="Times New Roman"/>
          <w:szCs w:val="20"/>
          <w:vertAlign w:val="subscript"/>
        </w:rPr>
        <w:t>2,5</w:t>
      </w:r>
      <w:r>
        <w:rPr>
          <w:rFonts w:eastAsia="Times New Roman" w:cs="Times New Roman"/>
          <w:szCs w:val="20"/>
        </w:rPr>
        <w:t xml:space="preserve"> = </w:t>
      </w:r>
      <w:r w:rsidR="00B90283">
        <w:rPr>
          <w:rFonts w:eastAsia="Times New Roman" w:cs="Times New Roman"/>
          <w:szCs w:val="20"/>
        </w:rPr>
        <w:t>2</w:t>
      </w:r>
      <w:r w:rsidR="008C78F1">
        <w:rPr>
          <w:rFonts w:eastAsia="Times New Roman" w:cs="Times New Roman"/>
          <w:szCs w:val="20"/>
        </w:rPr>
        <w:t xml:space="preserve"> </w:t>
      </w:r>
      <w:r w:rsidR="008C78F1" w:rsidRPr="00581713">
        <w:rPr>
          <w:rFonts w:ascii="Arial" w:eastAsia="Times New Roman" w:hAnsi="Arial" w:cs="Arial"/>
          <w:sz w:val="20"/>
          <w:szCs w:val="16"/>
        </w:rPr>
        <w:t>x</w:t>
      </w:r>
      <w:r w:rsidR="008C78F1">
        <w:rPr>
          <w:rFonts w:eastAsia="Times New Roman" w:cs="Times New Roman"/>
          <w:szCs w:val="20"/>
        </w:rPr>
        <w:t xml:space="preserve"> 1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 xml:space="preserve">000 / </w:t>
      </w:r>
      <w:r w:rsidR="00D24980">
        <w:rPr>
          <w:rFonts w:eastAsia="Times New Roman" w:cs="Times New Roman"/>
          <w:szCs w:val="20"/>
        </w:rPr>
        <w:t>17</w:t>
      </w:r>
      <w:r w:rsidR="008C78F1">
        <w:rPr>
          <w:rFonts w:eastAsia="Times New Roman" w:cs="Times New Roman"/>
          <w:szCs w:val="20"/>
        </w:rPr>
        <w:t xml:space="preserve"> / 5 </w:t>
      </w:r>
      <w:r w:rsidR="00FE15C4">
        <w:rPr>
          <w:rFonts w:ascii="Arial" w:eastAsia="Times New Roman" w:hAnsi="Arial" w:cs="Arial"/>
          <w:sz w:val="20"/>
          <w:szCs w:val="16"/>
        </w:rPr>
        <w:t>/</w:t>
      </w:r>
      <w:r w:rsidR="008C78F1">
        <w:rPr>
          <w:rFonts w:eastAsia="Times New Roman" w:cs="Times New Roman"/>
          <w:szCs w:val="20"/>
        </w:rPr>
        <w:t xml:space="preserve"> 3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>600</w:t>
      </w:r>
      <w:r w:rsidR="00BE51F7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= 0,</w:t>
      </w:r>
      <w:r w:rsidR="00C568BD">
        <w:rPr>
          <w:rFonts w:eastAsia="Times New Roman" w:cs="Times New Roman"/>
          <w:szCs w:val="20"/>
        </w:rPr>
        <w:t>0</w:t>
      </w:r>
      <w:r w:rsidR="00B82A99">
        <w:rPr>
          <w:rFonts w:eastAsia="Times New Roman" w:cs="Times New Roman"/>
          <w:szCs w:val="20"/>
        </w:rPr>
        <w:t>0</w:t>
      </w:r>
      <w:r w:rsidR="00D05652">
        <w:rPr>
          <w:rFonts w:eastAsia="Times New Roman" w:cs="Times New Roman"/>
          <w:szCs w:val="20"/>
        </w:rPr>
        <w:t>6</w:t>
      </w:r>
      <w:r>
        <w:rPr>
          <w:rFonts w:eastAsia="Times New Roman" w:cs="Times New Roman"/>
          <w:szCs w:val="20"/>
        </w:rPr>
        <w:t xml:space="preserve"> g/s;</w:t>
      </w:r>
    </w:p>
    <w:p w14:paraId="44A5C1F5" w14:textId="0A724DB7" w:rsidR="00042B76" w:rsidRPr="00581713" w:rsidRDefault="00042B76" w:rsidP="00042B7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CO = </w:t>
      </w:r>
      <w:r w:rsidR="00DE7C4B">
        <w:rPr>
          <w:rFonts w:eastAsia="Times New Roman" w:cs="Times New Roman"/>
          <w:szCs w:val="20"/>
        </w:rPr>
        <w:t>1</w:t>
      </w:r>
      <w:r w:rsidR="00503322">
        <w:rPr>
          <w:rFonts w:eastAsia="Times New Roman" w:cs="Times New Roman"/>
          <w:szCs w:val="20"/>
        </w:rPr>
        <w:t xml:space="preserve"> </w:t>
      </w:r>
      <w:r w:rsidR="00D62B86">
        <w:rPr>
          <w:rFonts w:eastAsia="Times New Roman" w:cs="Times New Roman"/>
          <w:szCs w:val="20"/>
        </w:rPr>
        <w:t>301</w:t>
      </w:r>
      <w:r w:rsidR="008C78F1">
        <w:rPr>
          <w:rFonts w:eastAsia="Times New Roman" w:cs="Times New Roman"/>
          <w:szCs w:val="20"/>
        </w:rPr>
        <w:t xml:space="preserve"> </w:t>
      </w:r>
      <w:r w:rsidR="008C78F1" w:rsidRPr="00581713">
        <w:rPr>
          <w:rFonts w:ascii="Arial" w:eastAsia="Times New Roman" w:hAnsi="Arial" w:cs="Arial"/>
          <w:sz w:val="20"/>
          <w:szCs w:val="16"/>
        </w:rPr>
        <w:t>x</w:t>
      </w:r>
      <w:r w:rsidR="008C78F1">
        <w:rPr>
          <w:rFonts w:eastAsia="Times New Roman" w:cs="Times New Roman"/>
          <w:szCs w:val="20"/>
        </w:rPr>
        <w:t xml:space="preserve"> 1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 xml:space="preserve">000 / </w:t>
      </w:r>
      <w:r w:rsidR="00D24980">
        <w:rPr>
          <w:rFonts w:eastAsia="Times New Roman" w:cs="Times New Roman"/>
          <w:szCs w:val="20"/>
        </w:rPr>
        <w:t>17</w:t>
      </w:r>
      <w:r w:rsidR="008C78F1">
        <w:rPr>
          <w:rFonts w:eastAsia="Times New Roman" w:cs="Times New Roman"/>
          <w:szCs w:val="20"/>
        </w:rPr>
        <w:t xml:space="preserve"> / 5 </w:t>
      </w:r>
      <w:r w:rsidR="00FE15C4">
        <w:rPr>
          <w:rFonts w:ascii="Arial" w:eastAsia="Times New Roman" w:hAnsi="Arial" w:cs="Arial"/>
          <w:sz w:val="20"/>
          <w:szCs w:val="16"/>
        </w:rPr>
        <w:t>/</w:t>
      </w:r>
      <w:r w:rsidR="008C78F1">
        <w:rPr>
          <w:rFonts w:eastAsia="Times New Roman" w:cs="Times New Roman"/>
          <w:szCs w:val="20"/>
        </w:rPr>
        <w:t xml:space="preserve"> 3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>600</w:t>
      </w:r>
      <w:r w:rsidR="00BE51F7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= </w:t>
      </w:r>
      <w:r w:rsidR="00703AD9">
        <w:rPr>
          <w:rFonts w:eastAsia="Times New Roman" w:cs="Times New Roman"/>
          <w:szCs w:val="20"/>
        </w:rPr>
        <w:t>4,250</w:t>
      </w:r>
      <w:r>
        <w:rPr>
          <w:rFonts w:eastAsia="Times New Roman" w:cs="Times New Roman"/>
          <w:szCs w:val="20"/>
        </w:rPr>
        <w:t xml:space="preserve"> g/s.</w:t>
      </w:r>
    </w:p>
    <w:p w14:paraId="260EA30E" w14:textId="7774BAFB" w:rsidR="00042B76" w:rsidRDefault="00042B76" w:rsidP="00042B7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NO</w:t>
      </w:r>
      <w:r w:rsidRPr="00E43754">
        <w:rPr>
          <w:rFonts w:eastAsia="Times New Roman" w:cs="Times New Roman"/>
          <w:szCs w:val="20"/>
          <w:vertAlign w:val="subscript"/>
        </w:rPr>
        <w:t>x</w:t>
      </w:r>
      <w:r>
        <w:rPr>
          <w:rFonts w:eastAsia="Times New Roman" w:cs="Times New Roman"/>
          <w:szCs w:val="20"/>
        </w:rPr>
        <w:t xml:space="preserve"> = </w:t>
      </w:r>
      <w:r w:rsidR="00DE7C4B">
        <w:rPr>
          <w:rFonts w:eastAsia="Times New Roman" w:cs="Times New Roman"/>
          <w:szCs w:val="20"/>
        </w:rPr>
        <w:t>3</w:t>
      </w:r>
      <w:r w:rsidR="00D62B86">
        <w:rPr>
          <w:rFonts w:eastAsia="Times New Roman" w:cs="Times New Roman"/>
          <w:szCs w:val="20"/>
        </w:rPr>
        <w:t>06</w:t>
      </w:r>
      <w:r w:rsidR="008C78F1">
        <w:rPr>
          <w:rFonts w:eastAsia="Times New Roman" w:cs="Times New Roman"/>
          <w:szCs w:val="20"/>
        </w:rPr>
        <w:t xml:space="preserve"> </w:t>
      </w:r>
      <w:r w:rsidR="008C78F1" w:rsidRPr="00581713">
        <w:rPr>
          <w:rFonts w:ascii="Arial" w:eastAsia="Times New Roman" w:hAnsi="Arial" w:cs="Arial"/>
          <w:sz w:val="20"/>
          <w:szCs w:val="16"/>
        </w:rPr>
        <w:t>x</w:t>
      </w:r>
      <w:r w:rsidR="008C78F1">
        <w:rPr>
          <w:rFonts w:eastAsia="Times New Roman" w:cs="Times New Roman"/>
          <w:szCs w:val="20"/>
        </w:rPr>
        <w:t xml:space="preserve"> 1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 xml:space="preserve">000 / </w:t>
      </w:r>
      <w:r w:rsidR="00D24980">
        <w:rPr>
          <w:rFonts w:eastAsia="Times New Roman" w:cs="Times New Roman"/>
          <w:szCs w:val="20"/>
        </w:rPr>
        <w:t>17</w:t>
      </w:r>
      <w:r w:rsidR="008C78F1">
        <w:rPr>
          <w:rFonts w:eastAsia="Times New Roman" w:cs="Times New Roman"/>
          <w:szCs w:val="20"/>
        </w:rPr>
        <w:t xml:space="preserve"> / 5 </w:t>
      </w:r>
      <w:r w:rsidR="00FE15C4">
        <w:rPr>
          <w:rFonts w:ascii="Arial" w:eastAsia="Times New Roman" w:hAnsi="Arial" w:cs="Arial"/>
          <w:sz w:val="20"/>
          <w:szCs w:val="16"/>
        </w:rPr>
        <w:t>/</w:t>
      </w:r>
      <w:r w:rsidR="008C78F1">
        <w:rPr>
          <w:rFonts w:eastAsia="Times New Roman" w:cs="Times New Roman"/>
          <w:szCs w:val="20"/>
        </w:rPr>
        <w:t xml:space="preserve"> 3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>600</w:t>
      </w:r>
      <w:r w:rsidR="00BE51F7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= </w:t>
      </w:r>
      <w:r w:rsidR="00703AD9">
        <w:rPr>
          <w:rFonts w:eastAsia="Times New Roman" w:cs="Times New Roman"/>
          <w:szCs w:val="20"/>
        </w:rPr>
        <w:t>1,000</w:t>
      </w:r>
      <w:r>
        <w:rPr>
          <w:rFonts w:eastAsia="Times New Roman" w:cs="Times New Roman"/>
          <w:szCs w:val="20"/>
        </w:rPr>
        <w:t xml:space="preserve"> g/s;</w:t>
      </w:r>
    </w:p>
    <w:p w14:paraId="1A921BC4" w14:textId="3F45E962" w:rsidR="00042B76" w:rsidRDefault="00042B76" w:rsidP="00042B76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SO</w:t>
      </w:r>
      <w:r>
        <w:rPr>
          <w:rFonts w:eastAsia="Times New Roman" w:cs="Times New Roman"/>
          <w:szCs w:val="20"/>
          <w:vertAlign w:val="subscript"/>
        </w:rPr>
        <w:t>2</w:t>
      </w:r>
      <w:r>
        <w:rPr>
          <w:rFonts w:eastAsia="Times New Roman" w:cs="Times New Roman"/>
          <w:szCs w:val="20"/>
        </w:rPr>
        <w:t xml:space="preserve"> = </w:t>
      </w:r>
      <w:r w:rsidR="00D62B86">
        <w:rPr>
          <w:rFonts w:eastAsia="Times New Roman" w:cs="Times New Roman"/>
          <w:szCs w:val="20"/>
        </w:rPr>
        <w:t>38</w:t>
      </w:r>
      <w:r w:rsidR="008C78F1">
        <w:rPr>
          <w:rFonts w:eastAsia="Times New Roman" w:cs="Times New Roman"/>
          <w:szCs w:val="20"/>
        </w:rPr>
        <w:t xml:space="preserve"> </w:t>
      </w:r>
      <w:r w:rsidR="008C78F1" w:rsidRPr="00581713">
        <w:rPr>
          <w:rFonts w:ascii="Arial" w:eastAsia="Times New Roman" w:hAnsi="Arial" w:cs="Arial"/>
          <w:sz w:val="20"/>
          <w:szCs w:val="16"/>
        </w:rPr>
        <w:t>x</w:t>
      </w:r>
      <w:r w:rsidR="008C78F1">
        <w:rPr>
          <w:rFonts w:eastAsia="Times New Roman" w:cs="Times New Roman"/>
          <w:szCs w:val="20"/>
        </w:rPr>
        <w:t xml:space="preserve"> 1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 xml:space="preserve">000 / </w:t>
      </w:r>
      <w:r w:rsidR="00D24980">
        <w:rPr>
          <w:rFonts w:eastAsia="Times New Roman" w:cs="Times New Roman"/>
          <w:szCs w:val="20"/>
        </w:rPr>
        <w:t>17</w:t>
      </w:r>
      <w:r w:rsidR="008C78F1">
        <w:rPr>
          <w:rFonts w:eastAsia="Times New Roman" w:cs="Times New Roman"/>
          <w:szCs w:val="20"/>
        </w:rPr>
        <w:t xml:space="preserve"> / 5 </w:t>
      </w:r>
      <w:r w:rsidR="00FE15C4">
        <w:rPr>
          <w:rFonts w:ascii="Arial" w:eastAsia="Times New Roman" w:hAnsi="Arial" w:cs="Arial"/>
          <w:sz w:val="20"/>
          <w:szCs w:val="16"/>
        </w:rPr>
        <w:t>/</w:t>
      </w:r>
      <w:r w:rsidR="008C78F1">
        <w:rPr>
          <w:rFonts w:eastAsia="Times New Roman" w:cs="Times New Roman"/>
          <w:szCs w:val="20"/>
        </w:rPr>
        <w:t xml:space="preserve"> 3</w:t>
      </w:r>
      <w:r w:rsidR="00503322">
        <w:rPr>
          <w:rFonts w:eastAsia="Times New Roman" w:cs="Times New Roman"/>
          <w:szCs w:val="20"/>
        </w:rPr>
        <w:t xml:space="preserve"> </w:t>
      </w:r>
      <w:r w:rsidR="008C78F1">
        <w:rPr>
          <w:rFonts w:eastAsia="Times New Roman" w:cs="Times New Roman"/>
          <w:szCs w:val="20"/>
        </w:rPr>
        <w:t>600</w:t>
      </w:r>
      <w:r w:rsidR="00BE51F7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= </w:t>
      </w:r>
      <w:r w:rsidR="00EB3B49">
        <w:rPr>
          <w:rFonts w:eastAsia="Times New Roman" w:cs="Times New Roman"/>
          <w:szCs w:val="20"/>
        </w:rPr>
        <w:t>0</w:t>
      </w:r>
      <w:r w:rsidR="00173FDE">
        <w:rPr>
          <w:rFonts w:eastAsia="Times New Roman" w:cs="Times New Roman"/>
          <w:szCs w:val="20"/>
        </w:rPr>
        <w:t>,</w:t>
      </w:r>
      <w:r w:rsidR="00D62B86">
        <w:rPr>
          <w:rFonts w:eastAsia="Times New Roman" w:cs="Times New Roman"/>
          <w:szCs w:val="20"/>
        </w:rPr>
        <w:t>125</w:t>
      </w:r>
      <w:r>
        <w:rPr>
          <w:rFonts w:eastAsia="Times New Roman" w:cs="Times New Roman"/>
          <w:szCs w:val="20"/>
        </w:rPr>
        <w:t xml:space="preserve"> g/s.</w:t>
      </w:r>
    </w:p>
    <w:p w14:paraId="0C1F02F0" w14:textId="77777777" w:rsidR="00B2586F" w:rsidRDefault="00B2586F" w:rsidP="00EB18CD">
      <w:pPr>
        <w:jc w:val="both"/>
        <w:rPr>
          <w:rFonts w:eastAsia="Times New Roman" w:cs="Times New Roman"/>
          <w:szCs w:val="20"/>
        </w:rPr>
      </w:pPr>
    </w:p>
    <w:p w14:paraId="3D610E57" w14:textId="28382438" w:rsidR="00476AF4" w:rsidRDefault="00476AF4" w:rsidP="008F2F69">
      <w:pPr>
        <w:rPr>
          <w:rFonts w:eastAsia="Times New Roman" w:cs="Times New Roman"/>
          <w:szCs w:val="20"/>
        </w:rPr>
      </w:pPr>
    </w:p>
    <w:p w14:paraId="3E4CF940" w14:textId="4D0B0616" w:rsidR="00BE48B4" w:rsidRDefault="00BE48B4" w:rsidP="00BE48B4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Purustus-sorteerimissõlm - </w:t>
      </w:r>
      <w:r w:rsidRPr="00FE2613">
        <w:rPr>
          <w:sz w:val="28"/>
          <w:szCs w:val="28"/>
        </w:rPr>
        <w:t xml:space="preserve">heiteallikas </w:t>
      </w:r>
      <w:r w:rsidR="00243417">
        <w:rPr>
          <w:sz w:val="28"/>
          <w:szCs w:val="28"/>
        </w:rPr>
        <w:t xml:space="preserve">nr </w:t>
      </w:r>
      <w:r w:rsidR="000147E7">
        <w:rPr>
          <w:sz w:val="28"/>
          <w:szCs w:val="28"/>
        </w:rPr>
        <w:t>3</w:t>
      </w:r>
    </w:p>
    <w:p w14:paraId="2389BEAA" w14:textId="766455D9" w:rsidR="00DA59E3" w:rsidRDefault="00DA59E3" w:rsidP="00DA59E3"/>
    <w:p w14:paraId="689EEDFA" w14:textId="3AF54A77" w:rsidR="00E542FD" w:rsidRDefault="00DA59E3" w:rsidP="00E542FD">
      <w:pPr>
        <w:pStyle w:val="BodyText"/>
      </w:pPr>
      <w:r>
        <w:t xml:space="preserve">Purustus-sorteerimissõlmes toimub kaevise töötlemine killustikuks. Materjal laetakse </w:t>
      </w:r>
      <w:r w:rsidR="0016362E">
        <w:t>sõlme ekskavaatoriga ning valmistoodang jaotatakse erinevate fraktsioonidega puistangutesse</w:t>
      </w:r>
      <w:r w:rsidR="00E542FD">
        <w:t>.</w:t>
      </w:r>
      <w:r w:rsidR="00E542FD" w:rsidRPr="00E542FD">
        <w:rPr>
          <w:highlight w:val="yellow"/>
        </w:rPr>
        <w:t xml:space="preserve"> </w:t>
      </w:r>
      <w:r w:rsidR="00E542FD" w:rsidRPr="00E542FD">
        <w:t xml:space="preserve">Arvestades purustus-sorteerimissõlme ja laadimistööde sisuliselt kõrvuti </w:t>
      </w:r>
      <w:r w:rsidR="001D59B1">
        <w:t>toimumist</w:t>
      </w:r>
      <w:r w:rsidR="00D7160D">
        <w:t xml:space="preserve"> ning tehnoloogilist seotust</w:t>
      </w:r>
      <w:r w:rsidR="00E542FD" w:rsidRPr="00E542FD">
        <w:t xml:space="preserve">, on </w:t>
      </w:r>
      <w:r w:rsidR="00D7160D">
        <w:t xml:space="preserve">kirjeldatud </w:t>
      </w:r>
      <w:r w:rsidR="006A4ABD">
        <w:t>tööprotsess</w:t>
      </w:r>
      <w:r w:rsidR="005F5A86">
        <w:t>id kui heiteallikad grupeeritud ning käsitletud ühtse</w:t>
      </w:r>
      <w:r w:rsidR="00E542FD" w:rsidRPr="00E542FD">
        <w:t xml:space="preserve"> heiteallikana (heiteallikas nr </w:t>
      </w:r>
      <w:r w:rsidR="00BB3505">
        <w:t>3</w:t>
      </w:r>
      <w:r w:rsidR="00E542FD" w:rsidRPr="00E542FD">
        <w:t>)</w:t>
      </w:r>
      <w:r w:rsidR="006A4ABD">
        <w:t>.</w:t>
      </w:r>
    </w:p>
    <w:p w14:paraId="023E5AB9" w14:textId="341C8DED" w:rsidR="00DA59E3" w:rsidRPr="00DA59E3" w:rsidRDefault="00DA59E3" w:rsidP="0016362E">
      <w:pPr>
        <w:jc w:val="both"/>
      </w:pPr>
    </w:p>
    <w:p w14:paraId="6DC4CDFB" w14:textId="1A373F40" w:rsidR="00E3542E" w:rsidRPr="00F90377" w:rsidRDefault="00E3542E" w:rsidP="00BE48B4">
      <w:pPr>
        <w:pStyle w:val="Heading3"/>
      </w:pPr>
      <w:r w:rsidRPr="00FE2613">
        <w:t>M</w:t>
      </w:r>
      <w:r w:rsidR="009A491A" w:rsidRPr="00FE2613">
        <w:t xml:space="preserve">aterjali </w:t>
      </w:r>
      <w:r w:rsidR="002F01F7" w:rsidRPr="00FE2613">
        <w:t>laadimine</w:t>
      </w:r>
      <w:bookmarkEnd w:id="0"/>
    </w:p>
    <w:p w14:paraId="275EEA94" w14:textId="6E9D7A7C" w:rsidR="00E3542E" w:rsidRDefault="00E3542E" w:rsidP="00E3542E">
      <w:pPr>
        <w:pStyle w:val="BodyText"/>
      </w:pPr>
      <w:r>
        <w:t xml:space="preserve">Kõikidel laadimisprotsessidel ehk kukkumisprotsessidel </w:t>
      </w:r>
      <w:r w:rsidRPr="00B262A6">
        <w:rPr>
          <w:i/>
          <w:iCs/>
        </w:rPr>
        <w:t>(drop operation</w:t>
      </w:r>
      <w:r>
        <w:t>) nagu maavara laadimine purustisse, toodangu laadimine kallurisse ning materjali kukkumine purustist sõelurisse või sõelurist puistangusse, tekkivate tahkete osakeste heitkoguste arvutamisel lähtutakse järgnevast valemist</w:t>
      </w:r>
      <w:r w:rsidR="009F3DA3" w:rsidRPr="009F3DA3">
        <w:t xml:space="preserve"> </w:t>
      </w:r>
      <w:r w:rsidR="009F3DA3">
        <w:t xml:space="preserve">(metoodika: </w:t>
      </w:r>
      <w:r w:rsidR="009F3DA3" w:rsidRPr="009F3DA3">
        <w:rPr>
          <w:i/>
          <w:iCs/>
        </w:rPr>
        <w:t xml:space="preserve">AP, Fifth Edition Compilation of Air Pollutant Emission Factors, Volume </w:t>
      </w:r>
      <w:r w:rsidR="00B323A6">
        <w:rPr>
          <w:i/>
          <w:iCs/>
        </w:rPr>
        <w:t>I</w:t>
      </w:r>
      <w:r w:rsidR="009F3DA3" w:rsidRPr="009F3DA3">
        <w:rPr>
          <w:i/>
          <w:iCs/>
        </w:rPr>
        <w:t>: Stationary Point and Area Sources. 13.2.4 Aggregate Handling and Storage Piles</w:t>
      </w:r>
      <w:r w:rsidR="009F3DA3" w:rsidRPr="009F3DA3">
        <w:t>)</w:t>
      </w:r>
      <w:r>
        <w:t>:</w:t>
      </w:r>
    </w:p>
    <w:p w14:paraId="26FD3C83" w14:textId="77777777" w:rsidR="00E3542E" w:rsidRPr="006077CB" w:rsidRDefault="00E3542E" w:rsidP="00E3542E">
      <w:pPr>
        <w:pStyle w:val="BodyText"/>
      </w:pPr>
    </w:p>
    <w:p w14:paraId="1CC9B2F0" w14:textId="3529A885" w:rsidR="0088592F" w:rsidRDefault="0088592F" w:rsidP="0088592F">
      <w:pPr>
        <w:pStyle w:val="BodyText"/>
        <w:jc w:val="center"/>
      </w:pPr>
      <m:oMath>
        <m:r>
          <w:rPr>
            <w:rFonts w:ascii="Cambria Math"/>
          </w:rPr>
          <m:t>E=k(0,0016)</m:t>
        </m:r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2,2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</w:rPr>
                  <m:t>1,3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</w:rPr>
                  <m:t>1,4</m:t>
                </m:r>
              </m:sup>
            </m:sSup>
          </m:den>
        </m:f>
      </m:oMath>
      <w:r>
        <w:t xml:space="preserve"> , kus</w:t>
      </w:r>
    </w:p>
    <w:p w14:paraId="00E254E4" w14:textId="77777777" w:rsidR="0088592F" w:rsidRPr="006077CB" w:rsidRDefault="0088592F" w:rsidP="0088592F">
      <w:pPr>
        <w:pStyle w:val="BodyText"/>
      </w:pPr>
    </w:p>
    <w:p w14:paraId="05DF6F0C" w14:textId="77777777" w:rsidR="0088592F" w:rsidRPr="006077CB" w:rsidRDefault="0088592F" w:rsidP="0088592F">
      <w:pPr>
        <w:pStyle w:val="BodyText"/>
      </w:pPr>
      <w:r w:rsidRPr="0092784C">
        <w:rPr>
          <w:i/>
        </w:rPr>
        <w:t>E</w:t>
      </w:r>
      <w:r w:rsidRPr="006077CB">
        <w:t xml:space="preserve"> </w:t>
      </w:r>
      <w:r>
        <w:t>–</w:t>
      </w:r>
      <w:r w:rsidRPr="006077CB">
        <w:t xml:space="preserve"> e</w:t>
      </w:r>
      <w:r>
        <w:t>missiooni faktor, tahkete osakeste kogus, kg/t (kg eriheidet materjali ühe tonni kukkumisel);</w:t>
      </w:r>
    </w:p>
    <w:p w14:paraId="67B3C605" w14:textId="77777777" w:rsidR="0088592F" w:rsidRPr="006077CB" w:rsidRDefault="0088592F" w:rsidP="0088592F">
      <w:pPr>
        <w:pStyle w:val="BodyText"/>
      </w:pPr>
      <w:r w:rsidRPr="0092784C">
        <w:rPr>
          <w:i/>
        </w:rPr>
        <w:t>k</w:t>
      </w:r>
      <w:r>
        <w:t xml:space="preserve"> – tahkete osakeste aerodünaamilisest läbimõõdust</w:t>
      </w:r>
      <w:r w:rsidRPr="006077CB">
        <w:t xml:space="preserve"> sõltuv konstant</w:t>
      </w:r>
      <w:r>
        <w:t>;</w:t>
      </w:r>
    </w:p>
    <w:p w14:paraId="76C0AF06" w14:textId="77777777" w:rsidR="0088592F" w:rsidRPr="006077CB" w:rsidRDefault="0088592F" w:rsidP="0088592F">
      <w:pPr>
        <w:pStyle w:val="BodyText"/>
      </w:pPr>
      <w:r w:rsidRPr="0092784C">
        <w:rPr>
          <w:i/>
        </w:rPr>
        <w:t>U</w:t>
      </w:r>
      <w:r w:rsidRPr="006077CB">
        <w:t xml:space="preserve"> </w:t>
      </w:r>
      <w:r>
        <w:t>–</w:t>
      </w:r>
      <w:r w:rsidRPr="006077CB">
        <w:t xml:space="preserve"> keskmine tuule kiirus, m/s</w:t>
      </w:r>
      <w:r>
        <w:t>;</w:t>
      </w:r>
    </w:p>
    <w:p w14:paraId="590767C6" w14:textId="77777777" w:rsidR="0088592F" w:rsidRPr="006077CB" w:rsidRDefault="0088592F" w:rsidP="0088592F">
      <w:pPr>
        <w:pStyle w:val="BodyText"/>
      </w:pPr>
      <w:r w:rsidRPr="0092784C">
        <w:rPr>
          <w:i/>
        </w:rPr>
        <w:t>M</w:t>
      </w:r>
      <w:r w:rsidRPr="006A0AC6">
        <w:t xml:space="preserve"> </w:t>
      </w:r>
      <w:r>
        <w:t>–</w:t>
      </w:r>
      <w:r w:rsidRPr="006A0AC6">
        <w:t xml:space="preserve"> materjali niiskussisaldus, %</w:t>
      </w:r>
      <w:r>
        <w:t>.</w:t>
      </w:r>
    </w:p>
    <w:p w14:paraId="29596023" w14:textId="77777777" w:rsidR="00E3542E" w:rsidRDefault="00E3542E" w:rsidP="00E3542E">
      <w:pPr>
        <w:pStyle w:val="BodyText"/>
        <w:rPr>
          <w:b/>
        </w:rPr>
      </w:pPr>
    </w:p>
    <w:p w14:paraId="7297F25C" w14:textId="09B34197" w:rsidR="00FE2613" w:rsidRDefault="00E3542E" w:rsidP="00E3542E">
      <w:pPr>
        <w:pStyle w:val="BodyText"/>
      </w:pPr>
      <w:r w:rsidRPr="00550F9F">
        <w:t xml:space="preserve">Tuginedes Riigi Ilmateenistuse </w:t>
      </w:r>
      <w:r w:rsidR="00DE7304">
        <w:t>Väike-Maarja</w:t>
      </w:r>
      <w:r w:rsidR="00F95328">
        <w:t xml:space="preserve"> </w:t>
      </w:r>
      <w:r w:rsidR="00E37070">
        <w:t>MJ</w:t>
      </w:r>
      <w:r w:rsidRPr="00550F9F">
        <w:t xml:space="preserve"> </w:t>
      </w:r>
      <w:r w:rsidR="004425F3">
        <w:t>palju</w:t>
      </w:r>
      <w:r w:rsidRPr="00550F9F">
        <w:t>aasta</w:t>
      </w:r>
      <w:r w:rsidR="00E37070">
        <w:t>te</w:t>
      </w:r>
      <w:r w:rsidRPr="00550F9F">
        <w:t xml:space="preserve"> </w:t>
      </w:r>
      <w:r>
        <w:t>ilmastiku</w:t>
      </w:r>
      <w:r w:rsidR="009F3DA3">
        <w:t>andmetel</w:t>
      </w:r>
      <w:r>
        <w:t>e</w:t>
      </w:r>
      <w:r w:rsidRPr="00550F9F">
        <w:t xml:space="preserve">, </w:t>
      </w:r>
      <w:r>
        <w:t xml:space="preserve">on arvestuslik </w:t>
      </w:r>
      <w:r w:rsidRPr="00550F9F">
        <w:t>aasta</w:t>
      </w:r>
      <w:r>
        <w:t>ne</w:t>
      </w:r>
      <w:r w:rsidRPr="00550F9F">
        <w:t xml:space="preserve"> </w:t>
      </w:r>
      <w:r>
        <w:t xml:space="preserve">keskmine </w:t>
      </w:r>
      <w:r w:rsidRPr="00550F9F">
        <w:t>tuule kiirus (</w:t>
      </w:r>
      <w:r w:rsidRPr="00550F9F">
        <w:rPr>
          <w:i/>
        </w:rPr>
        <w:t>U</w:t>
      </w:r>
      <w:r w:rsidRPr="00550F9F">
        <w:t xml:space="preserve">) </w:t>
      </w:r>
      <w:r w:rsidR="00DE7304">
        <w:t>3,7</w:t>
      </w:r>
      <w:r>
        <w:t xml:space="preserve"> </w:t>
      </w:r>
      <w:r w:rsidRPr="00550F9F">
        <w:t>m/s.</w:t>
      </w:r>
      <w:r>
        <w:t xml:space="preserve"> Materjali niiskussisalduseks (</w:t>
      </w:r>
      <w:r w:rsidRPr="00FB2CDA">
        <w:rPr>
          <w:i/>
        </w:rPr>
        <w:t>M</w:t>
      </w:r>
      <w:r>
        <w:t>) võeti</w:t>
      </w:r>
      <w:r w:rsidR="00BB3505">
        <w:t xml:space="preserve"> </w:t>
      </w:r>
      <w:r w:rsidR="006B5520">
        <w:t xml:space="preserve">5 </w:t>
      </w:r>
      <w:r w:rsidRPr="00BB3505">
        <w:t>%, mis on lubja</w:t>
      </w:r>
      <w:r w:rsidR="00F500F9" w:rsidRPr="00BB3505">
        <w:t>- ja dolo</w:t>
      </w:r>
      <w:r w:rsidRPr="00BB3505">
        <w:t xml:space="preserve">kivi tööstuses keskmiseks näitajaks. Parameeter </w:t>
      </w:r>
      <w:r w:rsidRPr="00BB3505">
        <w:rPr>
          <w:i/>
        </w:rPr>
        <w:t>k</w:t>
      </w:r>
      <w:r w:rsidRPr="00BB3505">
        <w:t xml:space="preserve"> sõltub arvutatava saasteaine</w:t>
      </w:r>
      <w:r>
        <w:t xml:space="preserve"> osakeste aerodünaamilisest läbimõõdust.</w:t>
      </w:r>
    </w:p>
    <w:p w14:paraId="737A3A39" w14:textId="77777777" w:rsidR="00407E50" w:rsidRDefault="00407E50" w:rsidP="00E3542E">
      <w:pPr>
        <w:pStyle w:val="BodyText"/>
      </w:pPr>
    </w:p>
    <w:p w14:paraId="305BC356" w14:textId="77777777" w:rsidR="00E3542E" w:rsidRDefault="00E3542E" w:rsidP="00E3542E">
      <w:pPr>
        <w:pStyle w:val="BodyText"/>
      </w:pPr>
    </w:p>
    <w:p w14:paraId="784CE8E0" w14:textId="2CD932FA" w:rsidR="00E3542E" w:rsidRDefault="00033129" w:rsidP="00033129">
      <w:pPr>
        <w:pStyle w:val="Caption"/>
        <w:keepNext/>
      </w:pPr>
      <w:r>
        <w:lastRenderedPageBreak/>
        <w:t xml:space="preserve">Tabel </w:t>
      </w:r>
      <w:r w:rsidR="009F40AF">
        <w:fldChar w:fldCharType="begin"/>
      </w:r>
      <w:r w:rsidR="009F40AF">
        <w:instrText xml:space="preserve"> SEQ Tabel \* ARABIC </w:instrText>
      </w:r>
      <w:r w:rsidR="009F40AF">
        <w:fldChar w:fldCharType="separate"/>
      </w:r>
      <w:r w:rsidR="00F16787">
        <w:rPr>
          <w:noProof/>
        </w:rPr>
        <w:t>1</w:t>
      </w:r>
      <w:r w:rsidR="009F40AF">
        <w:rPr>
          <w:noProof/>
        </w:rPr>
        <w:fldChar w:fldCharType="end"/>
      </w:r>
      <w:r>
        <w:t>.</w:t>
      </w:r>
      <w:r w:rsidRPr="00C60181">
        <w:t xml:space="preserve"> </w:t>
      </w:r>
      <w:r w:rsidRPr="007D1588">
        <w:t>T</w:t>
      </w:r>
      <w:r>
        <w:t>ahkete</w:t>
      </w:r>
      <w:r w:rsidRPr="007D1588">
        <w:t xml:space="preserve"> osakes</w:t>
      </w:r>
      <w:r>
        <w:t>t</w:t>
      </w:r>
      <w:r w:rsidRPr="007D1588">
        <w:t>e aerodünaamilisest läbimõõdust sõltuvad konstandid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1735"/>
        <w:gridCol w:w="1735"/>
        <w:gridCol w:w="1648"/>
      </w:tblGrid>
      <w:tr w:rsidR="00A235D2" w:rsidRPr="00F92A28" w14:paraId="338D5CDD" w14:textId="77777777" w:rsidTr="00915B5E">
        <w:tc>
          <w:tcPr>
            <w:tcW w:w="2277" w:type="pct"/>
            <w:vAlign w:val="center"/>
          </w:tcPr>
          <w:p w14:paraId="398EE3D8" w14:textId="77777777" w:rsidR="00A235D2" w:rsidRPr="00F92A28" w:rsidRDefault="00A235D2" w:rsidP="00A235D2">
            <w:pPr>
              <w:pStyle w:val="BodyText"/>
              <w:jc w:val="center"/>
            </w:pPr>
            <w:r w:rsidRPr="00F92A28">
              <w:t>T</w:t>
            </w:r>
            <w:r>
              <w:t>ahkete</w:t>
            </w:r>
            <w:r w:rsidRPr="00F92A28">
              <w:t xml:space="preserve"> osakes</w:t>
            </w:r>
            <w:r>
              <w:t>t</w:t>
            </w:r>
            <w:r w:rsidRPr="00F92A28">
              <w:t>e aerodünaamiline läbimõõt</w:t>
            </w:r>
          </w:p>
        </w:tc>
        <w:tc>
          <w:tcPr>
            <w:tcW w:w="923" w:type="pct"/>
            <w:vAlign w:val="center"/>
          </w:tcPr>
          <w:p w14:paraId="39C7A2B8" w14:textId="53ACFAF2" w:rsidR="00A235D2" w:rsidRPr="00F92A28" w:rsidRDefault="00A235D2" w:rsidP="00A235D2">
            <w:pPr>
              <w:pStyle w:val="BodyText"/>
              <w:jc w:val="center"/>
            </w:pPr>
            <w:r>
              <w:t>PM-sum</w:t>
            </w:r>
          </w:p>
        </w:tc>
        <w:tc>
          <w:tcPr>
            <w:tcW w:w="923" w:type="pct"/>
            <w:vAlign w:val="center"/>
          </w:tcPr>
          <w:p w14:paraId="3ABA5119" w14:textId="36BC8DBD" w:rsidR="00A235D2" w:rsidRPr="00F92A28" w:rsidRDefault="00A235D2" w:rsidP="00A235D2">
            <w:pPr>
              <w:pStyle w:val="BodyText"/>
              <w:jc w:val="center"/>
            </w:pPr>
            <w:r>
              <w:t>PM</w:t>
            </w:r>
            <w:r w:rsidRPr="00B862FC">
              <w:rPr>
                <w:vertAlign w:val="subscript"/>
              </w:rPr>
              <w:t>10</w:t>
            </w:r>
          </w:p>
        </w:tc>
        <w:tc>
          <w:tcPr>
            <w:tcW w:w="877" w:type="pct"/>
            <w:vAlign w:val="center"/>
          </w:tcPr>
          <w:p w14:paraId="0011BE15" w14:textId="760B9951" w:rsidR="00A235D2" w:rsidRPr="00F92A28" w:rsidRDefault="00A235D2" w:rsidP="00A235D2">
            <w:pPr>
              <w:pStyle w:val="BodyText"/>
              <w:jc w:val="center"/>
            </w:pPr>
            <w:r>
              <w:t>PM</w:t>
            </w:r>
            <w:r w:rsidRPr="00B862FC">
              <w:rPr>
                <w:vertAlign w:val="subscript"/>
              </w:rPr>
              <w:t>2,5</w:t>
            </w:r>
          </w:p>
        </w:tc>
      </w:tr>
      <w:tr w:rsidR="00A235D2" w:rsidRPr="00F92A28" w14:paraId="77F79ADA" w14:textId="77777777" w:rsidTr="00915B5E">
        <w:tc>
          <w:tcPr>
            <w:tcW w:w="2277" w:type="pct"/>
            <w:vAlign w:val="center"/>
          </w:tcPr>
          <w:p w14:paraId="51304AA6" w14:textId="77777777" w:rsidR="00A235D2" w:rsidRPr="00F92A28" w:rsidRDefault="00A235D2" w:rsidP="00A235D2">
            <w:pPr>
              <w:pStyle w:val="BodyText"/>
              <w:jc w:val="center"/>
            </w:pPr>
            <w:r>
              <w:t>K</w:t>
            </w:r>
            <w:r w:rsidRPr="00F92A28">
              <w:t xml:space="preserve">onstant </w:t>
            </w:r>
            <w:r w:rsidRPr="00E87677">
              <w:rPr>
                <w:i/>
              </w:rPr>
              <w:t>k</w:t>
            </w:r>
          </w:p>
        </w:tc>
        <w:tc>
          <w:tcPr>
            <w:tcW w:w="923" w:type="pct"/>
            <w:vAlign w:val="center"/>
          </w:tcPr>
          <w:p w14:paraId="44AC9D45" w14:textId="13245A46" w:rsidR="00A235D2" w:rsidRPr="007D7B94" w:rsidRDefault="00A235D2" w:rsidP="00A235D2">
            <w:pPr>
              <w:pStyle w:val="BodyText"/>
              <w:jc w:val="center"/>
              <w:rPr>
                <w:b/>
              </w:rPr>
            </w:pPr>
            <w:r w:rsidRPr="00B862FC">
              <w:rPr>
                <w:bCs/>
              </w:rPr>
              <w:t>0,74</w:t>
            </w:r>
          </w:p>
        </w:tc>
        <w:tc>
          <w:tcPr>
            <w:tcW w:w="923" w:type="pct"/>
            <w:vAlign w:val="center"/>
          </w:tcPr>
          <w:p w14:paraId="2D1A272D" w14:textId="6A8A2F7D" w:rsidR="00A235D2" w:rsidRPr="00F92A28" w:rsidRDefault="00A235D2" w:rsidP="00A235D2">
            <w:pPr>
              <w:pStyle w:val="BodyText"/>
              <w:jc w:val="center"/>
            </w:pPr>
            <w:r w:rsidRPr="00B862FC">
              <w:rPr>
                <w:bCs/>
              </w:rPr>
              <w:t>0,35</w:t>
            </w:r>
          </w:p>
        </w:tc>
        <w:tc>
          <w:tcPr>
            <w:tcW w:w="877" w:type="pct"/>
            <w:vAlign w:val="center"/>
          </w:tcPr>
          <w:p w14:paraId="2780E35E" w14:textId="67C76CE5" w:rsidR="00A235D2" w:rsidRPr="00F92A28" w:rsidRDefault="00A235D2" w:rsidP="00A235D2">
            <w:pPr>
              <w:pStyle w:val="BodyText"/>
              <w:jc w:val="center"/>
            </w:pPr>
            <w:r w:rsidRPr="00F92A28">
              <w:t>0,</w:t>
            </w:r>
            <w:r>
              <w:t>053</w:t>
            </w:r>
          </w:p>
        </w:tc>
      </w:tr>
    </w:tbl>
    <w:p w14:paraId="70FC9A2C" w14:textId="77777777" w:rsidR="00E3542E" w:rsidRDefault="00E3542E" w:rsidP="00E3542E">
      <w:pPr>
        <w:pStyle w:val="BodyText"/>
      </w:pPr>
    </w:p>
    <w:p w14:paraId="442B48C0" w14:textId="115F3353" w:rsidR="00CC354C" w:rsidRDefault="00E3542E" w:rsidP="00E3542E">
      <w:pPr>
        <w:pStyle w:val="BodyText"/>
      </w:pPr>
      <w:r>
        <w:t>Saadud emissiooni faktorite ja aastase tootmismahu põhjal arvutatud aastane heitkogus on esitatud tabelis 2.</w:t>
      </w:r>
      <w:r w:rsidR="004B496A" w:rsidRPr="004B496A">
        <w:t xml:space="preserve"> </w:t>
      </w:r>
      <w:r w:rsidR="004B496A">
        <w:t>Maksimaalse hetkelise heitkoguse (g/s) arvutamisel lähtuti purustus-sorteerimissõlme nominaalsest tootlikkusest, milleks on keskmisel</w:t>
      </w:r>
      <w:r w:rsidR="004B496A" w:rsidRPr="003132DD">
        <w:t xml:space="preserve">t </w:t>
      </w:r>
      <w:r w:rsidR="00BB3505">
        <w:t>1</w:t>
      </w:r>
      <w:r w:rsidR="00C03A2D">
        <w:t>2</w:t>
      </w:r>
      <w:r w:rsidR="00801521">
        <w:t>0</w:t>
      </w:r>
      <w:r w:rsidR="004B496A">
        <w:t xml:space="preserve"> t/h</w:t>
      </w:r>
      <w:r w:rsidR="00E50FB6">
        <w:t xml:space="preserve"> ning </w:t>
      </w:r>
      <w:r w:rsidR="009F40AF">
        <w:t xml:space="preserve">maksimaalsest </w:t>
      </w:r>
      <w:r w:rsidR="00E50FB6">
        <w:t>aastasest kaevandamise määrast (</w:t>
      </w:r>
      <w:r w:rsidR="00C03A2D">
        <w:t>85</w:t>
      </w:r>
      <w:r w:rsidR="00E50FB6">
        <w:t> 000 m</w:t>
      </w:r>
      <w:r w:rsidR="00E50FB6" w:rsidRPr="00E50FB6">
        <w:rPr>
          <w:vertAlign w:val="superscript"/>
        </w:rPr>
        <w:t>3</w:t>
      </w:r>
      <w:r w:rsidR="00E50FB6">
        <w:t xml:space="preserve">) ning </w:t>
      </w:r>
      <w:r w:rsidR="006B5520">
        <w:t>lubja</w:t>
      </w:r>
      <w:r w:rsidR="00E50FB6">
        <w:t>kivi mahumassist (2,</w:t>
      </w:r>
      <w:r w:rsidR="006B5520">
        <w:t>6</w:t>
      </w:r>
      <w:r w:rsidR="00E50FB6">
        <w:t xml:space="preserve"> t/m</w:t>
      </w:r>
      <w:r w:rsidR="00E50FB6" w:rsidRPr="00E50FB6">
        <w:rPr>
          <w:vertAlign w:val="superscript"/>
        </w:rPr>
        <w:t>3</w:t>
      </w:r>
      <w:r w:rsidR="00E50FB6">
        <w:t>).</w:t>
      </w:r>
    </w:p>
    <w:p w14:paraId="2112E788" w14:textId="6D491948" w:rsidR="00715BBA" w:rsidRDefault="00715BBA" w:rsidP="00E3542E">
      <w:pPr>
        <w:pStyle w:val="BodyText"/>
      </w:pPr>
    </w:p>
    <w:p w14:paraId="2BE9912B" w14:textId="28A7DFDC" w:rsidR="00715BBA" w:rsidRDefault="00715BBA" w:rsidP="00715BBA">
      <w:pPr>
        <w:pStyle w:val="Caption"/>
      </w:pPr>
      <w:r w:rsidRPr="00B33C29">
        <w:t xml:space="preserve">Tabel </w:t>
      </w:r>
      <w:r w:rsidR="009F40AF">
        <w:fldChar w:fldCharType="begin"/>
      </w:r>
      <w:r w:rsidR="009F40AF">
        <w:instrText xml:space="preserve"> SEQ Tabel \* ARABIC </w:instrText>
      </w:r>
      <w:r w:rsidR="009F40AF">
        <w:fldChar w:fldCharType="separate"/>
      </w:r>
      <w:r w:rsidR="00F16787" w:rsidRPr="00B33C29">
        <w:rPr>
          <w:noProof/>
        </w:rPr>
        <w:t>2</w:t>
      </w:r>
      <w:r w:rsidR="009F40AF">
        <w:rPr>
          <w:noProof/>
        </w:rPr>
        <w:fldChar w:fldCharType="end"/>
      </w:r>
      <w:r w:rsidRPr="00B33C29">
        <w:t xml:space="preserve">. Kukkumis- ja laadimisprotsessidel tekkivad heitkogused </w:t>
      </w:r>
      <w:r w:rsidR="00C03A2D">
        <w:t>Karinu IV</w:t>
      </w:r>
      <w:r w:rsidR="00407E50">
        <w:t xml:space="preserve"> </w:t>
      </w:r>
      <w:r w:rsidR="006B5520">
        <w:t>lubja</w:t>
      </w:r>
      <w:r w:rsidR="00407E50">
        <w:t>kivi</w:t>
      </w:r>
      <w:r w:rsidRPr="00B33C29">
        <w:t>karjääris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6"/>
        <w:gridCol w:w="1531"/>
        <w:gridCol w:w="1376"/>
        <w:gridCol w:w="1532"/>
        <w:gridCol w:w="1103"/>
        <w:gridCol w:w="908"/>
      </w:tblGrid>
      <w:tr w:rsidR="00BA467F" w:rsidRPr="00F92A28" w14:paraId="75F453A8" w14:textId="77777777" w:rsidTr="00743D4D">
        <w:trPr>
          <w:cantSplit/>
          <w:trHeight w:val="413"/>
          <w:tblHeader/>
        </w:trPr>
        <w:tc>
          <w:tcPr>
            <w:tcW w:w="1568" w:type="pct"/>
            <w:vMerge w:val="restart"/>
            <w:vAlign w:val="center"/>
          </w:tcPr>
          <w:p w14:paraId="24E9A729" w14:textId="77777777" w:rsidR="00BA467F" w:rsidRPr="00F92A28" w:rsidRDefault="00BA467F" w:rsidP="00F0466F">
            <w:pPr>
              <w:pStyle w:val="BodyText"/>
              <w:jc w:val="center"/>
            </w:pPr>
            <w:r w:rsidRPr="00F92A28">
              <w:t>Protsess</w:t>
            </w:r>
          </w:p>
        </w:tc>
        <w:tc>
          <w:tcPr>
            <w:tcW w:w="815" w:type="pct"/>
            <w:vMerge w:val="restart"/>
            <w:vAlign w:val="center"/>
          </w:tcPr>
          <w:p w14:paraId="32BE99C6" w14:textId="77777777" w:rsidR="00BA467F" w:rsidRPr="00F92A28" w:rsidRDefault="00BA467F" w:rsidP="00F0466F">
            <w:pPr>
              <w:pStyle w:val="BodyText"/>
              <w:jc w:val="center"/>
            </w:pPr>
            <w:r w:rsidRPr="00F92A28">
              <w:t>Tahkete osakeste iseloom</w:t>
            </w:r>
          </w:p>
        </w:tc>
        <w:tc>
          <w:tcPr>
            <w:tcW w:w="732" w:type="pct"/>
            <w:vMerge w:val="restart"/>
            <w:vAlign w:val="center"/>
          </w:tcPr>
          <w:p w14:paraId="551E1E84" w14:textId="77777777" w:rsidR="00BA467F" w:rsidRPr="00F92A28" w:rsidRDefault="00BA467F" w:rsidP="00F0466F">
            <w:pPr>
              <w:pStyle w:val="BodyText"/>
              <w:jc w:val="center"/>
            </w:pPr>
            <w:r w:rsidRPr="00F92A28">
              <w:t>Emissiooni faktor, kg/t</w:t>
            </w:r>
          </w:p>
        </w:tc>
        <w:tc>
          <w:tcPr>
            <w:tcW w:w="815" w:type="pct"/>
            <w:vMerge w:val="restart"/>
            <w:tcMar>
              <w:left w:w="0" w:type="dxa"/>
              <w:right w:w="0" w:type="dxa"/>
            </w:tcMar>
            <w:vAlign w:val="center"/>
          </w:tcPr>
          <w:p w14:paraId="7F8582C5" w14:textId="77777777" w:rsidR="00BA467F" w:rsidRPr="00F92A28" w:rsidRDefault="00BA467F" w:rsidP="00F0466F">
            <w:pPr>
              <w:pStyle w:val="BodyText"/>
              <w:jc w:val="center"/>
            </w:pPr>
            <w:r>
              <w:t>Protsessi läbiv kogus</w:t>
            </w:r>
            <w:r w:rsidRPr="00F92A28">
              <w:t xml:space="preserve"> t/a</w:t>
            </w:r>
            <w:r>
              <w:t>, (t/h)</w:t>
            </w:r>
          </w:p>
        </w:tc>
        <w:tc>
          <w:tcPr>
            <w:tcW w:w="1070" w:type="pct"/>
            <w:gridSpan w:val="2"/>
            <w:vAlign w:val="center"/>
          </w:tcPr>
          <w:p w14:paraId="3FF6B115" w14:textId="2ADAC85D" w:rsidR="00BA467F" w:rsidRPr="00F92A28" w:rsidRDefault="00BA467F" w:rsidP="00BA467F">
            <w:pPr>
              <w:pStyle w:val="BodyText"/>
              <w:jc w:val="center"/>
            </w:pPr>
            <w:r>
              <w:t>Heit</w:t>
            </w:r>
            <w:r w:rsidRPr="00F92A28">
              <w:t>kogus</w:t>
            </w:r>
          </w:p>
        </w:tc>
      </w:tr>
      <w:tr w:rsidR="00BA467F" w:rsidRPr="00F92A28" w14:paraId="1B6B2A8B" w14:textId="77777777" w:rsidTr="00743D4D">
        <w:trPr>
          <w:cantSplit/>
          <w:trHeight w:val="412"/>
          <w:tblHeader/>
        </w:trPr>
        <w:tc>
          <w:tcPr>
            <w:tcW w:w="1568" w:type="pct"/>
            <w:vMerge/>
            <w:vAlign w:val="center"/>
          </w:tcPr>
          <w:p w14:paraId="2DCE6AF9" w14:textId="77777777" w:rsidR="00BA467F" w:rsidRPr="00F92A28" w:rsidRDefault="00BA467F" w:rsidP="00F0466F">
            <w:pPr>
              <w:pStyle w:val="BodyText"/>
              <w:jc w:val="center"/>
            </w:pPr>
          </w:p>
        </w:tc>
        <w:tc>
          <w:tcPr>
            <w:tcW w:w="815" w:type="pct"/>
            <w:vMerge/>
            <w:vAlign w:val="center"/>
          </w:tcPr>
          <w:p w14:paraId="62EA9F42" w14:textId="77777777" w:rsidR="00BA467F" w:rsidRPr="00F92A28" w:rsidRDefault="00BA467F" w:rsidP="00F0466F">
            <w:pPr>
              <w:pStyle w:val="BodyText"/>
              <w:jc w:val="center"/>
            </w:pPr>
          </w:p>
        </w:tc>
        <w:tc>
          <w:tcPr>
            <w:tcW w:w="732" w:type="pct"/>
            <w:vMerge/>
            <w:vAlign w:val="center"/>
          </w:tcPr>
          <w:p w14:paraId="5DEC87C8" w14:textId="77777777" w:rsidR="00BA467F" w:rsidRPr="00F92A28" w:rsidRDefault="00BA467F" w:rsidP="00F0466F">
            <w:pPr>
              <w:pStyle w:val="BodyText"/>
              <w:jc w:val="center"/>
            </w:pPr>
          </w:p>
        </w:tc>
        <w:tc>
          <w:tcPr>
            <w:tcW w:w="815" w:type="pct"/>
            <w:vMerge/>
            <w:tcMar>
              <w:left w:w="0" w:type="dxa"/>
              <w:right w:w="0" w:type="dxa"/>
            </w:tcMar>
            <w:vAlign w:val="center"/>
          </w:tcPr>
          <w:p w14:paraId="5621F792" w14:textId="77777777" w:rsidR="00BA467F" w:rsidRDefault="00BA467F" w:rsidP="00F0466F">
            <w:pPr>
              <w:pStyle w:val="BodyText"/>
              <w:jc w:val="center"/>
            </w:pPr>
          </w:p>
        </w:tc>
        <w:tc>
          <w:tcPr>
            <w:tcW w:w="587" w:type="pct"/>
            <w:vAlign w:val="center"/>
          </w:tcPr>
          <w:p w14:paraId="7E1E542F" w14:textId="4A0FF3C5" w:rsidR="00BA467F" w:rsidRDefault="00BA467F" w:rsidP="00F0466F">
            <w:pPr>
              <w:pStyle w:val="BodyText"/>
              <w:jc w:val="center"/>
            </w:pPr>
            <w:r w:rsidRPr="00F92A28">
              <w:t>kg/a</w:t>
            </w:r>
          </w:p>
        </w:tc>
        <w:tc>
          <w:tcPr>
            <w:tcW w:w="483" w:type="pct"/>
            <w:vAlign w:val="center"/>
          </w:tcPr>
          <w:p w14:paraId="702375CD" w14:textId="5010E536" w:rsidR="00BA467F" w:rsidRDefault="00BA467F" w:rsidP="00F0466F">
            <w:pPr>
              <w:pStyle w:val="BodyText"/>
              <w:jc w:val="center"/>
            </w:pPr>
            <w:r>
              <w:t>g/s</w:t>
            </w:r>
          </w:p>
        </w:tc>
      </w:tr>
      <w:tr w:rsidR="00F431E2" w:rsidRPr="00F92A28" w14:paraId="1540D9AF" w14:textId="77777777" w:rsidTr="00BF7327">
        <w:trPr>
          <w:cantSplit/>
          <w:trHeight w:val="1005"/>
        </w:trPr>
        <w:tc>
          <w:tcPr>
            <w:tcW w:w="1568" w:type="pct"/>
            <w:vMerge w:val="restart"/>
            <w:vAlign w:val="center"/>
          </w:tcPr>
          <w:p w14:paraId="3B62E2F2" w14:textId="77777777" w:rsidR="00F431E2" w:rsidRDefault="00F431E2" w:rsidP="00E823B4">
            <w:pPr>
              <w:pStyle w:val="BodyText"/>
              <w:jc w:val="left"/>
            </w:pPr>
            <w:r>
              <w:t>1. Kaevise</w:t>
            </w:r>
            <w:r w:rsidRPr="00F92A28">
              <w:t xml:space="preserve"> </w:t>
            </w:r>
            <w:r>
              <w:t>laadimine purustisse;</w:t>
            </w:r>
          </w:p>
          <w:p w14:paraId="5DED4636" w14:textId="5EAEAE91" w:rsidR="00F431E2" w:rsidRDefault="00F431E2" w:rsidP="00E823B4">
            <w:pPr>
              <w:pStyle w:val="BodyText"/>
              <w:jc w:val="left"/>
            </w:pPr>
            <w:r>
              <w:t>2. Purustatud materjali kukkumine sõelurisse;</w:t>
            </w:r>
          </w:p>
          <w:p w14:paraId="6E6BDE85" w14:textId="240BE36D" w:rsidR="00F431E2" w:rsidRDefault="00F431E2" w:rsidP="00E823B4">
            <w:pPr>
              <w:pStyle w:val="BodyText"/>
              <w:jc w:val="left"/>
            </w:pPr>
            <w:r>
              <w:t>3. Purustatud ja sõelutud materjali kukkumine puistangusse;</w:t>
            </w:r>
          </w:p>
          <w:p w14:paraId="7720A143" w14:textId="3CFCC0F7" w:rsidR="00F431E2" w:rsidRDefault="00F431E2" w:rsidP="00E823B4">
            <w:pPr>
              <w:pStyle w:val="BodyText"/>
              <w:jc w:val="left"/>
            </w:pPr>
            <w:r>
              <w:t xml:space="preserve">4. </w:t>
            </w:r>
            <w:r w:rsidRPr="00DE2181">
              <w:t>Purustatud ja sorteeritud materjali transportimine lattu</w:t>
            </w:r>
            <w:r>
              <w:t>;</w:t>
            </w:r>
          </w:p>
          <w:p w14:paraId="393A5CDA" w14:textId="793AF48D" w:rsidR="00F431E2" w:rsidRPr="00F92A28" w:rsidRDefault="00F431E2" w:rsidP="00E823B4">
            <w:pPr>
              <w:pStyle w:val="BodyText"/>
              <w:jc w:val="left"/>
            </w:pPr>
            <w:r>
              <w:t xml:space="preserve">5. </w:t>
            </w:r>
            <w:r w:rsidRPr="00DE2181">
              <w:t>Purustatud ja sorteeritud materjali laadimine kallurile</w:t>
            </w:r>
          </w:p>
        </w:tc>
        <w:tc>
          <w:tcPr>
            <w:tcW w:w="815" w:type="pct"/>
            <w:vAlign w:val="center"/>
          </w:tcPr>
          <w:p w14:paraId="0F08E4C0" w14:textId="77777777" w:rsidR="00F431E2" w:rsidRPr="00F92A28" w:rsidRDefault="00F431E2" w:rsidP="00F0466F">
            <w:pPr>
              <w:pStyle w:val="BodyText"/>
              <w:jc w:val="center"/>
            </w:pPr>
            <w:r w:rsidRPr="00F92A28">
              <w:t>PM-</w:t>
            </w:r>
            <w:r>
              <w:t>sum</w:t>
            </w:r>
          </w:p>
        </w:tc>
        <w:tc>
          <w:tcPr>
            <w:tcW w:w="732" w:type="pct"/>
            <w:vAlign w:val="center"/>
          </w:tcPr>
          <w:p w14:paraId="633C4D26" w14:textId="23F3D226" w:rsidR="00F431E2" w:rsidRPr="00F92A28" w:rsidRDefault="00F431E2" w:rsidP="00F0466F">
            <w:pPr>
              <w:pStyle w:val="BodyText"/>
              <w:jc w:val="center"/>
            </w:pPr>
            <w:r>
              <w:t>0,00</w:t>
            </w:r>
            <w:r w:rsidR="00FF1059">
              <w:t>047</w:t>
            </w:r>
          </w:p>
        </w:tc>
        <w:tc>
          <w:tcPr>
            <w:tcW w:w="815" w:type="pct"/>
            <w:vMerge w:val="restart"/>
            <w:vAlign w:val="center"/>
          </w:tcPr>
          <w:p w14:paraId="1B689BE0" w14:textId="66228603" w:rsidR="00F431E2" w:rsidRDefault="00A2328D" w:rsidP="00F0466F">
            <w:pPr>
              <w:pStyle w:val="BodyText"/>
              <w:jc w:val="center"/>
            </w:pPr>
            <w:r>
              <w:t>2</w:t>
            </w:r>
            <w:r w:rsidR="00B839EE">
              <w:t>21</w:t>
            </w:r>
            <w:r w:rsidR="0019380F">
              <w:t xml:space="preserve"> 000</w:t>
            </w:r>
          </w:p>
          <w:p w14:paraId="17309786" w14:textId="056297FE" w:rsidR="00F431E2" w:rsidRPr="00F92A28" w:rsidRDefault="00A2328D" w:rsidP="00F0466F">
            <w:pPr>
              <w:pStyle w:val="BodyText"/>
              <w:jc w:val="center"/>
            </w:pPr>
            <w:r>
              <w:t>(1</w:t>
            </w:r>
            <w:r w:rsidR="00B839EE">
              <w:t>2</w:t>
            </w:r>
            <w:r>
              <w:t>0)</w:t>
            </w:r>
          </w:p>
        </w:tc>
        <w:tc>
          <w:tcPr>
            <w:tcW w:w="587" w:type="pct"/>
            <w:vAlign w:val="center"/>
          </w:tcPr>
          <w:p w14:paraId="7519C187" w14:textId="6B65592A" w:rsidR="00F431E2" w:rsidRPr="00F92A28" w:rsidRDefault="007310D6" w:rsidP="00F0466F">
            <w:pPr>
              <w:pStyle w:val="BodyText"/>
              <w:jc w:val="center"/>
            </w:pPr>
            <w:r>
              <w:t>713</w:t>
            </w:r>
          </w:p>
        </w:tc>
        <w:tc>
          <w:tcPr>
            <w:tcW w:w="483" w:type="pct"/>
            <w:vAlign w:val="center"/>
          </w:tcPr>
          <w:p w14:paraId="3E31BD88" w14:textId="3719808A" w:rsidR="00F431E2" w:rsidRPr="00F92A28" w:rsidRDefault="00F431E2" w:rsidP="00F0466F">
            <w:pPr>
              <w:pStyle w:val="BodyText"/>
              <w:jc w:val="center"/>
            </w:pPr>
            <w:r>
              <w:t>0,</w:t>
            </w:r>
            <w:r w:rsidR="007310D6">
              <w:t>108</w:t>
            </w:r>
          </w:p>
        </w:tc>
      </w:tr>
      <w:tr w:rsidR="00F431E2" w:rsidRPr="00F92A28" w14:paraId="76E9ACB1" w14:textId="77777777" w:rsidTr="00BF7327">
        <w:trPr>
          <w:cantSplit/>
          <w:trHeight w:val="1005"/>
        </w:trPr>
        <w:tc>
          <w:tcPr>
            <w:tcW w:w="1568" w:type="pct"/>
            <w:vMerge/>
            <w:vAlign w:val="center"/>
          </w:tcPr>
          <w:p w14:paraId="73EBC8CA" w14:textId="77777777" w:rsidR="00F431E2" w:rsidRPr="00F92A28" w:rsidRDefault="00F431E2" w:rsidP="00F0466F">
            <w:pPr>
              <w:pStyle w:val="BodyText"/>
              <w:jc w:val="center"/>
            </w:pPr>
          </w:p>
        </w:tc>
        <w:tc>
          <w:tcPr>
            <w:tcW w:w="815" w:type="pct"/>
            <w:vAlign w:val="center"/>
          </w:tcPr>
          <w:p w14:paraId="3782F2C2" w14:textId="77777777" w:rsidR="00F431E2" w:rsidRPr="00F92A28" w:rsidRDefault="00F431E2" w:rsidP="00F0466F">
            <w:pPr>
              <w:pStyle w:val="BodyText"/>
              <w:jc w:val="center"/>
            </w:pPr>
            <w:r>
              <w:t>PM</w:t>
            </w:r>
            <w:r w:rsidRPr="006E2463">
              <w:rPr>
                <w:vertAlign w:val="subscript"/>
              </w:rPr>
              <w:t>10</w:t>
            </w:r>
          </w:p>
        </w:tc>
        <w:tc>
          <w:tcPr>
            <w:tcW w:w="732" w:type="pct"/>
            <w:vAlign w:val="center"/>
          </w:tcPr>
          <w:p w14:paraId="35A7BC3E" w14:textId="715639DE" w:rsidR="00F431E2" w:rsidRPr="00F92A28" w:rsidRDefault="00F431E2" w:rsidP="00F0466F">
            <w:pPr>
              <w:pStyle w:val="BodyText"/>
              <w:jc w:val="center"/>
            </w:pPr>
            <w:r>
              <w:t>0,000</w:t>
            </w:r>
            <w:r w:rsidR="00FF1059">
              <w:t>22</w:t>
            </w:r>
          </w:p>
        </w:tc>
        <w:tc>
          <w:tcPr>
            <w:tcW w:w="815" w:type="pct"/>
            <w:vMerge/>
            <w:vAlign w:val="center"/>
          </w:tcPr>
          <w:p w14:paraId="7EED6019" w14:textId="77777777" w:rsidR="00F431E2" w:rsidRPr="00F92A28" w:rsidRDefault="00F431E2" w:rsidP="00F0466F">
            <w:pPr>
              <w:pStyle w:val="BodyText"/>
              <w:jc w:val="center"/>
            </w:pPr>
          </w:p>
        </w:tc>
        <w:tc>
          <w:tcPr>
            <w:tcW w:w="587" w:type="pct"/>
            <w:vAlign w:val="center"/>
          </w:tcPr>
          <w:p w14:paraId="02943D97" w14:textId="2065B6FD" w:rsidR="00F431E2" w:rsidRPr="00F92A28" w:rsidRDefault="007310D6" w:rsidP="00F0466F">
            <w:pPr>
              <w:pStyle w:val="BodyText"/>
              <w:jc w:val="center"/>
            </w:pPr>
            <w:r>
              <w:t>337</w:t>
            </w:r>
          </w:p>
        </w:tc>
        <w:tc>
          <w:tcPr>
            <w:tcW w:w="483" w:type="pct"/>
            <w:vAlign w:val="center"/>
          </w:tcPr>
          <w:p w14:paraId="738CAD85" w14:textId="7201B308" w:rsidR="00F431E2" w:rsidRPr="00F92A28" w:rsidRDefault="00F431E2" w:rsidP="00F0466F">
            <w:pPr>
              <w:pStyle w:val="BodyText"/>
              <w:jc w:val="center"/>
            </w:pPr>
            <w:r>
              <w:t>0,</w:t>
            </w:r>
            <w:r w:rsidR="003A4A41">
              <w:t>0</w:t>
            </w:r>
            <w:r w:rsidR="007310D6">
              <w:t>51</w:t>
            </w:r>
          </w:p>
        </w:tc>
      </w:tr>
      <w:tr w:rsidR="00F431E2" w:rsidRPr="00F92A28" w14:paraId="0DE4DC85" w14:textId="77777777" w:rsidTr="00BF7327">
        <w:trPr>
          <w:cantSplit/>
          <w:trHeight w:val="1006"/>
        </w:trPr>
        <w:tc>
          <w:tcPr>
            <w:tcW w:w="1568" w:type="pct"/>
            <w:vMerge/>
            <w:vAlign w:val="center"/>
          </w:tcPr>
          <w:p w14:paraId="7100DCA4" w14:textId="77777777" w:rsidR="00F431E2" w:rsidRPr="00F92A28" w:rsidRDefault="00F431E2" w:rsidP="00F0466F">
            <w:pPr>
              <w:pStyle w:val="BodyText"/>
              <w:jc w:val="center"/>
            </w:pPr>
          </w:p>
        </w:tc>
        <w:tc>
          <w:tcPr>
            <w:tcW w:w="815" w:type="pct"/>
            <w:vAlign w:val="center"/>
          </w:tcPr>
          <w:p w14:paraId="491D615C" w14:textId="13BF9760" w:rsidR="00F431E2" w:rsidRDefault="00F431E2" w:rsidP="00F0466F">
            <w:pPr>
              <w:pStyle w:val="BodyText"/>
              <w:jc w:val="center"/>
            </w:pPr>
            <w:r>
              <w:t>PM</w:t>
            </w:r>
            <w:r w:rsidRPr="0019778F">
              <w:rPr>
                <w:vertAlign w:val="subscript"/>
              </w:rPr>
              <w:t>2,5</w:t>
            </w:r>
          </w:p>
        </w:tc>
        <w:tc>
          <w:tcPr>
            <w:tcW w:w="732" w:type="pct"/>
            <w:vAlign w:val="center"/>
          </w:tcPr>
          <w:p w14:paraId="072CE1EA" w14:textId="17016841" w:rsidR="00F431E2" w:rsidRDefault="00F431E2" w:rsidP="00F0466F">
            <w:pPr>
              <w:pStyle w:val="BodyText"/>
              <w:jc w:val="center"/>
            </w:pPr>
            <w:r>
              <w:t>0,000</w:t>
            </w:r>
            <w:r w:rsidR="00FF1059">
              <w:t>03</w:t>
            </w:r>
          </w:p>
        </w:tc>
        <w:tc>
          <w:tcPr>
            <w:tcW w:w="815" w:type="pct"/>
            <w:vMerge/>
            <w:vAlign w:val="center"/>
          </w:tcPr>
          <w:p w14:paraId="5FE3792A" w14:textId="77777777" w:rsidR="00F431E2" w:rsidRPr="00F92A28" w:rsidRDefault="00F431E2" w:rsidP="00F0466F">
            <w:pPr>
              <w:pStyle w:val="BodyText"/>
              <w:jc w:val="center"/>
            </w:pPr>
          </w:p>
        </w:tc>
        <w:tc>
          <w:tcPr>
            <w:tcW w:w="587" w:type="pct"/>
            <w:vAlign w:val="center"/>
          </w:tcPr>
          <w:p w14:paraId="34AC3213" w14:textId="2C2DD622" w:rsidR="00F431E2" w:rsidRDefault="007310D6" w:rsidP="00F0466F">
            <w:pPr>
              <w:pStyle w:val="BodyText"/>
              <w:jc w:val="center"/>
            </w:pPr>
            <w:r>
              <w:t>51</w:t>
            </w:r>
          </w:p>
        </w:tc>
        <w:tc>
          <w:tcPr>
            <w:tcW w:w="483" w:type="pct"/>
            <w:vAlign w:val="center"/>
          </w:tcPr>
          <w:p w14:paraId="4D09D95E" w14:textId="4B15BE42" w:rsidR="00F431E2" w:rsidRDefault="00472E1A" w:rsidP="00F0466F">
            <w:pPr>
              <w:pStyle w:val="BodyText"/>
              <w:jc w:val="center"/>
            </w:pPr>
            <w:r>
              <w:t>0,0</w:t>
            </w:r>
            <w:r w:rsidR="003A4A41">
              <w:t>0</w:t>
            </w:r>
            <w:r w:rsidR="007310D6">
              <w:t>8</w:t>
            </w:r>
          </w:p>
        </w:tc>
      </w:tr>
    </w:tbl>
    <w:p w14:paraId="2A9B571E" w14:textId="77777777" w:rsidR="00D94C67" w:rsidRDefault="00D94C67" w:rsidP="00D94C67">
      <w:pPr>
        <w:pStyle w:val="BodyText"/>
      </w:pPr>
      <w:bookmarkStart w:id="2" w:name="_Toc402441569"/>
    </w:p>
    <w:p w14:paraId="5967DA8F" w14:textId="77777777" w:rsidR="00E3542E" w:rsidRDefault="00E3542E" w:rsidP="00E3542E"/>
    <w:p w14:paraId="424E78C2" w14:textId="3609AC64" w:rsidR="00E3542E" w:rsidRPr="00F90377" w:rsidRDefault="00E3542E" w:rsidP="00BE48B4">
      <w:pPr>
        <w:pStyle w:val="Heading3"/>
      </w:pPr>
      <w:r w:rsidRPr="00FE2613">
        <w:t>Materjali sorteerimine ja purustamine</w:t>
      </w:r>
      <w:bookmarkEnd w:id="2"/>
    </w:p>
    <w:p w14:paraId="0967B405" w14:textId="58BF65A1" w:rsidR="00185FCC" w:rsidRDefault="00E3542E" w:rsidP="00185FCC">
      <w:pPr>
        <w:pStyle w:val="BodyText"/>
      </w:pPr>
      <w:r>
        <w:t>Analoogselt laadimisprotsessidega sõltuvad kivimi purustamisest ja sõelumisest tekkivad heitkogused protsessi läbivast materjalivoost ja protsessi emissioonifaktorist. Emissioonifaktor sõltub ka kasutatavatest leevendusmeetmetest. Leevendusmeetmete mittekasutamisel on emissioonifaktor maksimaalne (</w:t>
      </w:r>
      <w:r w:rsidRPr="00B03F79">
        <w:rPr>
          <w:i/>
        </w:rPr>
        <w:t>uncontrolled</w:t>
      </w:r>
      <w:r>
        <w:t>). Leevendusmeetmete kasutamisel on võimalik heitkoguseid vähendada ligi 90% (</w:t>
      </w:r>
      <w:r w:rsidRPr="00B03F79">
        <w:rPr>
          <w:i/>
        </w:rPr>
        <w:t>controlled</w:t>
      </w:r>
      <w:r>
        <w:t xml:space="preserve">). </w:t>
      </w:r>
      <w:r w:rsidR="009F6527">
        <w:t xml:space="preserve">Vastavalt loa taotlejalt saadud informatsioonile on mobiilse purutus-sorteerimissõlme sõel </w:t>
      </w:r>
      <w:r w:rsidR="00645BD1">
        <w:t>ja konveierliinid katetega</w:t>
      </w:r>
      <w:r w:rsidR="00514CF1">
        <w:t xml:space="preserve">. </w:t>
      </w:r>
      <w:r w:rsidR="00185FCC">
        <w:t xml:space="preserve">Eelnevast tulenevalt </w:t>
      </w:r>
      <w:r w:rsidR="00185FCC" w:rsidRPr="003D1B47">
        <w:t xml:space="preserve">on materjali töötlemisel tegemist kontrollitud tööprotsessidega ning arvutustes </w:t>
      </w:r>
      <w:r w:rsidR="00185FCC">
        <w:t xml:space="preserve">on </w:t>
      </w:r>
      <w:r w:rsidR="00185FCC" w:rsidRPr="003D1B47">
        <w:t xml:space="preserve">kasutatud vastavaid </w:t>
      </w:r>
      <w:r w:rsidR="00185FCC">
        <w:t xml:space="preserve">metoodika </w:t>
      </w:r>
      <w:r w:rsidR="00185FCC" w:rsidRPr="003D1B47">
        <w:t>eriheitetegureid.</w:t>
      </w:r>
    </w:p>
    <w:p w14:paraId="466AC116" w14:textId="3046A224" w:rsidR="00FD148E" w:rsidRDefault="00FD148E" w:rsidP="00E3542E">
      <w:pPr>
        <w:pStyle w:val="BodyText"/>
      </w:pPr>
    </w:p>
    <w:p w14:paraId="76EB444D" w14:textId="5CE242B1" w:rsidR="000F1821" w:rsidRDefault="007A1F61" w:rsidP="00E3542E">
      <w:pPr>
        <w:pStyle w:val="BodyText"/>
      </w:pPr>
      <w:r>
        <w:t xml:space="preserve">Eeltoodud metoodika </w:t>
      </w:r>
      <w:r w:rsidR="007F7564">
        <w:t>(</w:t>
      </w:r>
      <w:r w:rsidR="007F7564" w:rsidRPr="00147DE9">
        <w:rPr>
          <w:i/>
          <w:iCs/>
        </w:rPr>
        <w:t>AP, Fifth Edition Compilation of Air Pollutant Emission Factors, Volume</w:t>
      </w:r>
      <w:r w:rsidR="0025216D">
        <w:rPr>
          <w:i/>
          <w:iCs/>
        </w:rPr>
        <w:t> </w:t>
      </w:r>
      <w:r w:rsidR="007F7564">
        <w:rPr>
          <w:i/>
          <w:iCs/>
        </w:rPr>
        <w:t>1</w:t>
      </w:r>
      <w:r w:rsidR="007F7564" w:rsidRPr="00147DE9">
        <w:rPr>
          <w:i/>
          <w:iCs/>
        </w:rPr>
        <w:t>: Stationary Point and Area Sources. 11.19.2 Crushed Stone Processing and Pulverized Mineral Processing</w:t>
      </w:r>
      <w:r w:rsidR="007F7564">
        <w:rPr>
          <w:i/>
          <w:iCs/>
        </w:rPr>
        <w:t>)</w:t>
      </w:r>
      <w:r w:rsidR="007F7564" w:rsidRPr="007F7564">
        <w:t xml:space="preserve"> </w:t>
      </w:r>
      <w:r>
        <w:t>kohaselt on emissioonifaktorid I</w:t>
      </w:r>
      <w:r w:rsidR="00AA3CF3">
        <w:t xml:space="preserve"> ja II</w:t>
      </w:r>
      <w:r>
        <w:t>astme purustamise</w:t>
      </w:r>
      <w:r w:rsidR="007F7564">
        <w:t xml:space="preserve"> ja sõelumine </w:t>
      </w:r>
      <w:r>
        <w:t>jaoks samad.</w:t>
      </w:r>
      <w:r w:rsidR="004037BF">
        <w:t xml:space="preserve"> </w:t>
      </w:r>
      <w:r w:rsidR="007F7564">
        <w:t xml:space="preserve">Eristatakse vaid </w:t>
      </w:r>
      <w:r w:rsidR="00AA3CF3">
        <w:t>III</w:t>
      </w:r>
      <w:r w:rsidR="00A2328D">
        <w:t xml:space="preserve"> astme </w:t>
      </w:r>
      <w:r w:rsidR="007F7564">
        <w:t xml:space="preserve">peenpurustamist ja -sõelumist &lt;5 mm toodetavatele fraktsioonidele, mille emissioonifaktorid on kõrgemad. </w:t>
      </w:r>
      <w:r w:rsidR="004037BF">
        <w:t xml:space="preserve">Materjal läbib purusti, misjärel toimub </w:t>
      </w:r>
      <w:r w:rsidR="0055189F">
        <w:t xml:space="preserve">purustatud materjali </w:t>
      </w:r>
      <w:r w:rsidR="004037BF">
        <w:t>sõelumine erinevate fraktsioonide kaupa</w:t>
      </w:r>
      <w:r w:rsidR="00C93AA2">
        <w:t>.</w:t>
      </w:r>
    </w:p>
    <w:p w14:paraId="63EA5025" w14:textId="77777777" w:rsidR="000F1821" w:rsidRDefault="000F1821" w:rsidP="00E3542E">
      <w:pPr>
        <w:pStyle w:val="BodyText"/>
      </w:pPr>
    </w:p>
    <w:p w14:paraId="506BDC58" w14:textId="3AA8419F" w:rsidR="00255D4B" w:rsidRDefault="00C93AA2" w:rsidP="00E3542E">
      <w:pPr>
        <w:pStyle w:val="BodyText"/>
      </w:pPr>
      <w:r>
        <w:lastRenderedPageBreak/>
        <w:t>T</w:t>
      </w:r>
      <w:r w:rsidR="00255D4B">
        <w:t xml:space="preserve">oodetavad killustiku fraktsioonid </w:t>
      </w:r>
      <w:r>
        <w:t xml:space="preserve">ning kogused </w:t>
      </w:r>
      <w:r w:rsidR="00255D4B">
        <w:t xml:space="preserve">on </w:t>
      </w:r>
      <w:r w:rsidR="00CC6CFF">
        <w:t xml:space="preserve">eeldatavalt </w:t>
      </w:r>
      <w:r w:rsidR="00255D4B">
        <w:t>järgmised:</w:t>
      </w:r>
    </w:p>
    <w:p w14:paraId="1AD9A21A" w14:textId="77777777" w:rsidR="004E0368" w:rsidRDefault="004E0368" w:rsidP="00E3542E">
      <w:pPr>
        <w:pStyle w:val="BodyText"/>
      </w:pPr>
    </w:p>
    <w:p w14:paraId="0B2A906A" w14:textId="2091385D" w:rsidR="002E2DE9" w:rsidRDefault="00AD4EC5" w:rsidP="002E2DE9">
      <w:pPr>
        <w:pStyle w:val="BodyText"/>
        <w:numPr>
          <w:ilvl w:val="0"/>
          <w:numId w:val="1"/>
        </w:numPr>
      </w:pPr>
      <w:r>
        <w:t xml:space="preserve">fr </w:t>
      </w:r>
      <w:r w:rsidR="00AA3CF3">
        <w:t>45/90</w:t>
      </w:r>
      <w:r>
        <w:t xml:space="preserve">, umbes </w:t>
      </w:r>
      <w:r w:rsidR="00AA3CF3">
        <w:t>5</w:t>
      </w:r>
      <w:r w:rsidR="00A2328D">
        <w:t>0</w:t>
      </w:r>
      <w:r>
        <w:t xml:space="preserve"> % ehk </w:t>
      </w:r>
      <w:r w:rsidR="00AA3CF3">
        <w:t>110 500</w:t>
      </w:r>
      <w:r w:rsidR="00287701">
        <w:t xml:space="preserve"> t - I astme purustamine</w:t>
      </w:r>
      <w:r w:rsidR="00810A37">
        <w:t xml:space="preserve"> ja sõelumine</w:t>
      </w:r>
      <w:r w:rsidR="00190F75">
        <w:t>;</w:t>
      </w:r>
    </w:p>
    <w:p w14:paraId="79499426" w14:textId="0FE2B6EB" w:rsidR="004A2219" w:rsidRDefault="0051527C" w:rsidP="00E3542E">
      <w:pPr>
        <w:pStyle w:val="BodyText"/>
        <w:numPr>
          <w:ilvl w:val="0"/>
          <w:numId w:val="1"/>
        </w:numPr>
      </w:pPr>
      <w:r>
        <w:t xml:space="preserve">fr </w:t>
      </w:r>
      <w:r w:rsidR="00AA3CF3">
        <w:t>7/45</w:t>
      </w:r>
      <w:r>
        <w:t xml:space="preserve">, umbes </w:t>
      </w:r>
      <w:r w:rsidR="00AA3CF3">
        <w:t>3</w:t>
      </w:r>
      <w:r w:rsidR="00A2328D">
        <w:t>0</w:t>
      </w:r>
      <w:r>
        <w:t xml:space="preserve"> % ehk </w:t>
      </w:r>
      <w:r w:rsidR="006F3CED">
        <w:t>66 300</w:t>
      </w:r>
      <w:r w:rsidR="004A2219">
        <w:t xml:space="preserve"> t - I</w:t>
      </w:r>
      <w:r w:rsidR="00810A37">
        <w:t xml:space="preserve">I </w:t>
      </w:r>
      <w:r w:rsidR="004A2219">
        <w:t>astme purustamine</w:t>
      </w:r>
      <w:r w:rsidR="00810A37">
        <w:t xml:space="preserve"> ja sõelumine</w:t>
      </w:r>
      <w:r w:rsidR="00190F75">
        <w:t>;</w:t>
      </w:r>
    </w:p>
    <w:p w14:paraId="49B1C469" w14:textId="1433C10F" w:rsidR="00E4304B" w:rsidRDefault="0051527C" w:rsidP="00E4304B">
      <w:pPr>
        <w:pStyle w:val="BodyText"/>
        <w:numPr>
          <w:ilvl w:val="0"/>
          <w:numId w:val="1"/>
        </w:numPr>
      </w:pPr>
      <w:r>
        <w:t xml:space="preserve">fr </w:t>
      </w:r>
      <w:r w:rsidR="006F3CED">
        <w:t>0</w:t>
      </w:r>
      <w:r w:rsidR="002E1CDC">
        <w:t>/</w:t>
      </w:r>
      <w:r w:rsidR="006F3CED">
        <w:t>7</w:t>
      </w:r>
      <w:r w:rsidR="002E1CDC">
        <w:t xml:space="preserve"> umbes 2</w:t>
      </w:r>
      <w:r w:rsidR="00A2328D">
        <w:t>0</w:t>
      </w:r>
      <w:r w:rsidR="002E1CDC">
        <w:t xml:space="preserve"> % ehk </w:t>
      </w:r>
      <w:r w:rsidR="006F3CED">
        <w:t>44</w:t>
      </w:r>
      <w:r w:rsidR="006B0842">
        <w:t xml:space="preserve"> </w:t>
      </w:r>
      <w:r w:rsidR="006F3CED">
        <w:t>2</w:t>
      </w:r>
      <w:r w:rsidR="00EC71EE">
        <w:t xml:space="preserve">00 t - </w:t>
      </w:r>
      <w:r w:rsidR="00E63D6A">
        <w:t>I</w:t>
      </w:r>
      <w:r w:rsidR="00810A37">
        <w:t>II</w:t>
      </w:r>
      <w:r w:rsidR="00EC71EE">
        <w:t xml:space="preserve"> astme purustamine</w:t>
      </w:r>
      <w:r w:rsidR="00810A37" w:rsidRPr="00810A37">
        <w:t xml:space="preserve"> </w:t>
      </w:r>
      <w:r w:rsidR="00810A37">
        <w:t>ja sõelumine</w:t>
      </w:r>
      <w:r w:rsidR="006F3CED">
        <w:t>.</w:t>
      </w:r>
    </w:p>
    <w:p w14:paraId="3B0F604F" w14:textId="57EE9316" w:rsidR="001B6D26" w:rsidRDefault="001B6D26" w:rsidP="001B6D26">
      <w:pPr>
        <w:pStyle w:val="BodyText"/>
      </w:pPr>
    </w:p>
    <w:p w14:paraId="333E9253" w14:textId="7B46BA6B" w:rsidR="00D94C67" w:rsidRDefault="00E3542E" w:rsidP="00E3542E">
      <w:pPr>
        <w:pStyle w:val="BodyText"/>
      </w:pPr>
      <w:r>
        <w:t>Arvutatud heitkogused on toodud tabelis 3</w:t>
      </w:r>
      <w:r w:rsidR="007C5E87">
        <w:t xml:space="preserve"> (metoodika: </w:t>
      </w:r>
      <w:r w:rsidR="00147DE9" w:rsidRPr="00147DE9">
        <w:rPr>
          <w:i/>
          <w:iCs/>
        </w:rPr>
        <w:t xml:space="preserve">AP, Fifth Edition Compilation of Air Pollutant Emission Factors, Volume </w:t>
      </w:r>
      <w:r w:rsidR="008C6F50">
        <w:rPr>
          <w:i/>
          <w:iCs/>
        </w:rPr>
        <w:t>1</w:t>
      </w:r>
      <w:r w:rsidR="00147DE9" w:rsidRPr="00147DE9">
        <w:rPr>
          <w:i/>
          <w:iCs/>
        </w:rPr>
        <w:t>: Stationary Point and Area Sources. 11.19.2 Crushed Stone Processing and Pulverized Mineral Processing</w:t>
      </w:r>
      <w:r w:rsidR="00147DE9">
        <w:rPr>
          <w:i/>
          <w:iCs/>
        </w:rPr>
        <w:t>).</w:t>
      </w:r>
      <w:r w:rsidR="007F7564">
        <w:t xml:space="preserve"> </w:t>
      </w:r>
      <w:r w:rsidR="00257F7A">
        <w:t xml:space="preserve">Maksimaalse hetkelise heitkoguse (g/s) arvutamisel lähtuti purustus-sorteerimissõlme nominaalsest tootlikkusest, milleks on keskmiselt </w:t>
      </w:r>
      <w:r w:rsidR="00A2328D">
        <w:t>1</w:t>
      </w:r>
      <w:r w:rsidR="004A7F00">
        <w:t>2</w:t>
      </w:r>
      <w:r w:rsidR="006B0842">
        <w:t xml:space="preserve">0 </w:t>
      </w:r>
      <w:r w:rsidR="00257F7A">
        <w:t>t/h</w:t>
      </w:r>
      <w:r w:rsidR="00A70976">
        <w:t>.</w:t>
      </w:r>
    </w:p>
    <w:p w14:paraId="0CB65BE5" w14:textId="77777777" w:rsidR="00D94C67" w:rsidRDefault="00D94C67" w:rsidP="00E3542E">
      <w:pPr>
        <w:pStyle w:val="BodyText"/>
      </w:pPr>
    </w:p>
    <w:p w14:paraId="09D58151" w14:textId="037301A6" w:rsidR="00E3542E" w:rsidRPr="001E0D64" w:rsidRDefault="00B45414" w:rsidP="00B45414">
      <w:pPr>
        <w:pStyle w:val="Caption"/>
        <w:keepNext/>
        <w:jc w:val="both"/>
      </w:pPr>
      <w:r w:rsidRPr="001E0D64">
        <w:t xml:space="preserve">Tabel </w:t>
      </w:r>
      <w:r w:rsidR="009F40AF">
        <w:fldChar w:fldCharType="begin"/>
      </w:r>
      <w:r w:rsidR="009F40AF">
        <w:instrText xml:space="preserve"> SEQ Tabel \* ARABIC </w:instrText>
      </w:r>
      <w:r w:rsidR="009F40AF">
        <w:fldChar w:fldCharType="separate"/>
      </w:r>
      <w:r w:rsidR="00F16787" w:rsidRPr="001E0D64">
        <w:rPr>
          <w:noProof/>
        </w:rPr>
        <w:t>3</w:t>
      </w:r>
      <w:r w:rsidR="009F40AF">
        <w:rPr>
          <w:noProof/>
        </w:rPr>
        <w:fldChar w:fldCharType="end"/>
      </w:r>
      <w:r w:rsidRPr="001E0D64">
        <w:t xml:space="preserve">. </w:t>
      </w:r>
      <w:r w:rsidR="00331CCD">
        <w:t>Lubjak</w:t>
      </w:r>
      <w:r w:rsidR="00672CA3" w:rsidRPr="001E0D64">
        <w:t>ivi</w:t>
      </w:r>
      <w:r w:rsidRPr="001E0D64">
        <w:t xml:space="preserve"> purustamisel ja sõelumisel tekkivate tahkete osakeste eriheitmed ja heitkogused </w:t>
      </w:r>
      <w:r w:rsidR="004A7F00">
        <w:t>Karinu IV</w:t>
      </w:r>
      <w:r w:rsidR="00331CCD">
        <w:t xml:space="preserve"> lubja</w:t>
      </w:r>
      <w:r w:rsidR="006B0842" w:rsidRPr="001E0D64">
        <w:t>kivi</w:t>
      </w:r>
      <w:r w:rsidRPr="001E0D64">
        <w:t>karjääri purustus-sorteerimissõlmest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94"/>
        <w:gridCol w:w="1017"/>
        <w:gridCol w:w="1223"/>
        <w:gridCol w:w="921"/>
        <w:gridCol w:w="979"/>
        <w:gridCol w:w="1071"/>
        <w:gridCol w:w="1050"/>
        <w:gridCol w:w="981"/>
        <w:gridCol w:w="960"/>
      </w:tblGrid>
      <w:tr w:rsidR="0006232B" w:rsidRPr="001E0D64" w14:paraId="7286761D" w14:textId="77777777" w:rsidTr="00541767">
        <w:trPr>
          <w:trHeight w:val="578"/>
        </w:trPr>
        <w:tc>
          <w:tcPr>
            <w:tcW w:w="1176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A12253A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Protsess</w:t>
            </w:r>
          </w:p>
        </w:tc>
        <w:tc>
          <w:tcPr>
            <w:tcW w:w="651" w:type="pct"/>
            <w:vAlign w:val="center"/>
          </w:tcPr>
          <w:p w14:paraId="352AFC49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Protsessi läbiv kogus</w:t>
            </w:r>
          </w:p>
        </w:tc>
        <w:tc>
          <w:tcPr>
            <w:tcW w:w="1580" w:type="pct"/>
            <w:gridSpan w:val="3"/>
            <w:tcMar>
              <w:left w:w="28" w:type="dxa"/>
              <w:right w:w="28" w:type="dxa"/>
            </w:tcMar>
            <w:vAlign w:val="center"/>
          </w:tcPr>
          <w:p w14:paraId="4D1D4AAB" w14:textId="4A13DC10" w:rsidR="00FF325E" w:rsidRPr="001E0D64" w:rsidRDefault="00FF325E" w:rsidP="00930668">
            <w:pPr>
              <w:pStyle w:val="BodyText"/>
              <w:jc w:val="center"/>
            </w:pPr>
            <w:r w:rsidRPr="001E0D64">
              <w:t xml:space="preserve">Emissiooni faktor </w:t>
            </w:r>
            <w:r w:rsidR="006B0842" w:rsidRPr="001E0D64">
              <w:t>100</w:t>
            </w:r>
            <w:r w:rsidRPr="001E0D64">
              <w:t xml:space="preserve"> %, (</w:t>
            </w:r>
            <w:r w:rsidRPr="001E0D64">
              <w:rPr>
                <w:i/>
              </w:rPr>
              <w:t>controlled)</w:t>
            </w:r>
          </w:p>
        </w:tc>
        <w:tc>
          <w:tcPr>
            <w:tcW w:w="1593" w:type="pct"/>
            <w:gridSpan w:val="3"/>
            <w:vAlign w:val="center"/>
          </w:tcPr>
          <w:p w14:paraId="77C66D44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 xml:space="preserve">Heitkogus, </w:t>
            </w:r>
          </w:p>
          <w:p w14:paraId="125AC02B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kg/a</w:t>
            </w:r>
          </w:p>
          <w:p w14:paraId="3E8AEBD7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(g/s)</w:t>
            </w:r>
          </w:p>
        </w:tc>
      </w:tr>
      <w:tr w:rsidR="00D8061A" w:rsidRPr="001E0D64" w14:paraId="72477A38" w14:textId="77777777" w:rsidTr="00541767">
        <w:trPr>
          <w:trHeight w:val="147"/>
        </w:trPr>
        <w:tc>
          <w:tcPr>
            <w:tcW w:w="1176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B6E1CAA" w14:textId="77777777" w:rsidR="00FF325E" w:rsidRPr="001E0D64" w:rsidRDefault="00FF325E" w:rsidP="00930668">
            <w:pPr>
              <w:pStyle w:val="BodyText"/>
              <w:jc w:val="center"/>
            </w:pPr>
          </w:p>
        </w:tc>
        <w:tc>
          <w:tcPr>
            <w:tcW w:w="651" w:type="pct"/>
            <w:vAlign w:val="center"/>
          </w:tcPr>
          <w:p w14:paraId="3A4E6F6A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t/a</w:t>
            </w:r>
          </w:p>
          <w:p w14:paraId="6E14FE30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(t/h)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668589F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PM-sum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  <w:vAlign w:val="center"/>
          </w:tcPr>
          <w:p w14:paraId="5C1C95DD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PM</w:t>
            </w:r>
            <w:r w:rsidRPr="001E0D64">
              <w:rPr>
                <w:vertAlign w:val="subscript"/>
              </w:rPr>
              <w:t>10</w:t>
            </w:r>
          </w:p>
        </w:tc>
        <w:tc>
          <w:tcPr>
            <w:tcW w:w="569" w:type="pct"/>
            <w:vAlign w:val="center"/>
          </w:tcPr>
          <w:p w14:paraId="4FAE31C6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PM</w:t>
            </w:r>
            <w:r w:rsidRPr="001E0D64">
              <w:rPr>
                <w:vertAlign w:val="subscript"/>
              </w:rPr>
              <w:t>2,5</w:t>
            </w:r>
          </w:p>
        </w:tc>
        <w:tc>
          <w:tcPr>
            <w:tcW w:w="559" w:type="pct"/>
            <w:vAlign w:val="center"/>
          </w:tcPr>
          <w:p w14:paraId="68B867BF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PM-sum</w:t>
            </w:r>
          </w:p>
        </w:tc>
        <w:tc>
          <w:tcPr>
            <w:tcW w:w="522" w:type="pct"/>
            <w:tcMar>
              <w:left w:w="28" w:type="dxa"/>
              <w:right w:w="28" w:type="dxa"/>
            </w:tcMar>
            <w:vAlign w:val="center"/>
          </w:tcPr>
          <w:p w14:paraId="0570FD08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PM</w:t>
            </w:r>
            <w:r w:rsidRPr="001E0D64">
              <w:rPr>
                <w:vertAlign w:val="subscript"/>
              </w:rPr>
              <w:t>10</w:t>
            </w:r>
          </w:p>
        </w:tc>
        <w:tc>
          <w:tcPr>
            <w:tcW w:w="512" w:type="pct"/>
            <w:vAlign w:val="center"/>
          </w:tcPr>
          <w:p w14:paraId="5AA7CBEF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PM</w:t>
            </w:r>
            <w:r w:rsidRPr="001E0D64">
              <w:rPr>
                <w:vertAlign w:val="subscript"/>
              </w:rPr>
              <w:t>2,5</w:t>
            </w:r>
          </w:p>
        </w:tc>
      </w:tr>
      <w:tr w:rsidR="00AA18BD" w:rsidRPr="001E0D64" w14:paraId="748FB7A1" w14:textId="77777777" w:rsidTr="00541767">
        <w:trPr>
          <w:trHeight w:val="624"/>
        </w:trPr>
        <w:tc>
          <w:tcPr>
            <w:tcW w:w="63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B28B3D9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Purusta-mine</w:t>
            </w:r>
          </w:p>
        </w:tc>
        <w:tc>
          <w:tcPr>
            <w:tcW w:w="541" w:type="pct"/>
            <w:vAlign w:val="center"/>
          </w:tcPr>
          <w:p w14:paraId="23886F44" w14:textId="3FDDD62B" w:rsidR="00FF325E" w:rsidRPr="001E0D64" w:rsidRDefault="00FF325E" w:rsidP="00930668">
            <w:pPr>
              <w:pStyle w:val="BodyText"/>
              <w:jc w:val="center"/>
            </w:pPr>
            <w:r w:rsidRPr="001E0D64">
              <w:t>I</w:t>
            </w:r>
            <w:r w:rsidR="004A7F00">
              <w:t xml:space="preserve"> ja II</w:t>
            </w:r>
            <w:r w:rsidR="00A2328D" w:rsidRPr="001E0D64">
              <w:t xml:space="preserve"> </w:t>
            </w:r>
            <w:r w:rsidRPr="001E0D64">
              <w:t>aste</w:t>
            </w:r>
          </w:p>
        </w:tc>
        <w:tc>
          <w:tcPr>
            <w:tcW w:w="651" w:type="pct"/>
            <w:vAlign w:val="center"/>
          </w:tcPr>
          <w:p w14:paraId="4421389A" w14:textId="03FDAEB4" w:rsidR="00FF325E" w:rsidRPr="001E0D64" w:rsidRDefault="00065069" w:rsidP="00930668">
            <w:pPr>
              <w:pStyle w:val="BodyText"/>
              <w:jc w:val="center"/>
            </w:pPr>
            <w:r>
              <w:t>176 800</w:t>
            </w:r>
          </w:p>
          <w:p w14:paraId="49854EED" w14:textId="17844A30" w:rsidR="00FF325E" w:rsidRPr="001E0D64" w:rsidRDefault="00FF325E" w:rsidP="00930668">
            <w:pPr>
              <w:pStyle w:val="BodyText"/>
              <w:jc w:val="center"/>
            </w:pPr>
            <w:r w:rsidRPr="001E0D64">
              <w:t>(</w:t>
            </w:r>
            <w:r w:rsidR="00331CCD">
              <w:t>9</w:t>
            </w:r>
            <w:r w:rsidR="00065069">
              <w:t>6</w:t>
            </w:r>
            <w:r w:rsidRPr="001E0D64">
              <w:t>)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1A31B1EB" w14:textId="1D7FF3CE" w:rsidR="00FF325E" w:rsidRPr="001E0D64" w:rsidRDefault="00FF325E" w:rsidP="00930668">
            <w:pPr>
              <w:pStyle w:val="BodyText"/>
              <w:jc w:val="center"/>
            </w:pPr>
            <w:r w:rsidRPr="001E0D64">
              <w:t>0,0</w:t>
            </w:r>
            <w:r w:rsidR="006D1AE2" w:rsidRPr="001E0D64">
              <w:t>0</w:t>
            </w:r>
            <w:r w:rsidR="00E50FB6" w:rsidRPr="001E0D64">
              <w:t>060</w:t>
            </w:r>
          </w:p>
        </w:tc>
        <w:tc>
          <w:tcPr>
            <w:tcW w:w="521" w:type="pct"/>
            <w:vAlign w:val="center"/>
          </w:tcPr>
          <w:p w14:paraId="7F833359" w14:textId="5F75A9FB" w:rsidR="00FF325E" w:rsidRPr="001E0D64" w:rsidRDefault="00FF325E" w:rsidP="00930668">
            <w:pPr>
              <w:pStyle w:val="BodyText"/>
              <w:jc w:val="center"/>
            </w:pPr>
            <w:r w:rsidRPr="001E0D64">
              <w:t>0,00</w:t>
            </w:r>
            <w:r w:rsidR="00AD4A1E" w:rsidRPr="001E0D64">
              <w:t>0</w:t>
            </w:r>
            <w:r w:rsidR="00E50FB6" w:rsidRPr="001E0D64">
              <w:t>27</w:t>
            </w:r>
          </w:p>
        </w:tc>
        <w:tc>
          <w:tcPr>
            <w:tcW w:w="569" w:type="pct"/>
            <w:vAlign w:val="center"/>
          </w:tcPr>
          <w:p w14:paraId="6755D943" w14:textId="5FC29341" w:rsidR="00FF325E" w:rsidRPr="001E0D64" w:rsidRDefault="00E50FB6" w:rsidP="00930668">
            <w:pPr>
              <w:pStyle w:val="BodyText"/>
              <w:jc w:val="center"/>
            </w:pPr>
            <w:r w:rsidRPr="001E0D64">
              <w:t>0,00005</w:t>
            </w:r>
          </w:p>
        </w:tc>
        <w:tc>
          <w:tcPr>
            <w:tcW w:w="559" w:type="pct"/>
            <w:vAlign w:val="center"/>
          </w:tcPr>
          <w:p w14:paraId="637CC9F6" w14:textId="00824D2B" w:rsidR="00FF325E" w:rsidRPr="001E0D64" w:rsidRDefault="00D41DA2" w:rsidP="00930668">
            <w:pPr>
              <w:pStyle w:val="BodyText"/>
              <w:jc w:val="center"/>
            </w:pPr>
            <w:r>
              <w:t>10</w:t>
            </w:r>
            <w:r w:rsidR="008C1704">
              <w:t>6</w:t>
            </w:r>
          </w:p>
          <w:p w14:paraId="455CCE6A" w14:textId="7F2C706E" w:rsidR="00FF325E" w:rsidRPr="001E0D64" w:rsidRDefault="00FF325E" w:rsidP="00930668">
            <w:pPr>
              <w:pStyle w:val="BodyText"/>
              <w:jc w:val="center"/>
            </w:pPr>
            <w:r w:rsidRPr="001E0D64">
              <w:t>(0,0</w:t>
            </w:r>
            <w:r w:rsidR="00E50FB6" w:rsidRPr="001E0D64">
              <w:t>1</w:t>
            </w:r>
            <w:r w:rsidR="00D41DA2">
              <w:t>6</w:t>
            </w:r>
            <w:r w:rsidRPr="001E0D64">
              <w:t>)</w:t>
            </w:r>
          </w:p>
        </w:tc>
        <w:tc>
          <w:tcPr>
            <w:tcW w:w="522" w:type="pct"/>
            <w:tcMar>
              <w:left w:w="28" w:type="dxa"/>
              <w:right w:w="28" w:type="dxa"/>
            </w:tcMar>
            <w:vAlign w:val="center"/>
          </w:tcPr>
          <w:p w14:paraId="14678F81" w14:textId="52013568" w:rsidR="00FF325E" w:rsidRPr="001E0D64" w:rsidRDefault="00D41DA2" w:rsidP="00930668">
            <w:pPr>
              <w:pStyle w:val="BodyText"/>
              <w:jc w:val="center"/>
            </w:pPr>
            <w:r>
              <w:t>4</w:t>
            </w:r>
            <w:r w:rsidR="008C1704">
              <w:t>8</w:t>
            </w:r>
          </w:p>
          <w:p w14:paraId="63F8F6EB" w14:textId="0B977219" w:rsidR="00FF325E" w:rsidRPr="001E0D64" w:rsidRDefault="00FF325E" w:rsidP="00930668">
            <w:pPr>
              <w:pStyle w:val="BodyText"/>
              <w:jc w:val="center"/>
            </w:pPr>
            <w:r w:rsidRPr="001E0D64">
              <w:t>(0,0</w:t>
            </w:r>
            <w:r w:rsidR="00E50FB6" w:rsidRPr="001E0D64">
              <w:t>0</w:t>
            </w:r>
            <w:r w:rsidR="00D41DA2">
              <w:t>7</w:t>
            </w:r>
            <w:r w:rsidRPr="001E0D64">
              <w:t>)</w:t>
            </w:r>
          </w:p>
        </w:tc>
        <w:tc>
          <w:tcPr>
            <w:tcW w:w="512" w:type="pct"/>
            <w:vAlign w:val="center"/>
          </w:tcPr>
          <w:p w14:paraId="42DC9CDD" w14:textId="7D925624" w:rsidR="00FF325E" w:rsidRPr="001E0D64" w:rsidRDefault="008C1704" w:rsidP="00930668">
            <w:pPr>
              <w:pStyle w:val="BodyText"/>
              <w:jc w:val="center"/>
            </w:pPr>
            <w:r>
              <w:t>9</w:t>
            </w:r>
          </w:p>
          <w:p w14:paraId="612571E8" w14:textId="3897EEA0" w:rsidR="00E50FB6" w:rsidRPr="001E0D64" w:rsidRDefault="00E50FB6" w:rsidP="00930668">
            <w:pPr>
              <w:pStyle w:val="BodyText"/>
              <w:jc w:val="center"/>
            </w:pPr>
            <w:r w:rsidRPr="001E0D64">
              <w:t>(0,001)</w:t>
            </w:r>
          </w:p>
        </w:tc>
      </w:tr>
      <w:tr w:rsidR="00AA18BD" w:rsidRPr="001E0D64" w14:paraId="591E51EB" w14:textId="77777777" w:rsidTr="00541767">
        <w:trPr>
          <w:trHeight w:val="624"/>
        </w:trPr>
        <w:tc>
          <w:tcPr>
            <w:tcW w:w="63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84A056" w14:textId="77777777" w:rsidR="00FF325E" w:rsidRPr="001E0D64" w:rsidRDefault="00FF325E" w:rsidP="00930668">
            <w:pPr>
              <w:pStyle w:val="BodyText"/>
              <w:jc w:val="center"/>
            </w:pP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2307DF08" w14:textId="06F5B734" w:rsidR="00FF325E" w:rsidRPr="001E0D64" w:rsidRDefault="004A7F00" w:rsidP="00930668">
            <w:pPr>
              <w:pStyle w:val="BodyText"/>
              <w:jc w:val="center"/>
            </w:pPr>
            <w:r>
              <w:t>III</w:t>
            </w:r>
            <w:r w:rsidR="00FF325E" w:rsidRPr="001E0D64">
              <w:t xml:space="preserve"> aste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0003FCF1" w14:textId="7AA23A79" w:rsidR="00FF325E" w:rsidRPr="001E0D64" w:rsidRDefault="00065069" w:rsidP="00930668">
            <w:pPr>
              <w:pStyle w:val="BodyText"/>
              <w:jc w:val="center"/>
            </w:pPr>
            <w:r>
              <w:t>44 200</w:t>
            </w:r>
          </w:p>
          <w:p w14:paraId="340B6485" w14:textId="5D19F614" w:rsidR="00FF325E" w:rsidRPr="001E0D64" w:rsidRDefault="00FF325E" w:rsidP="00930668">
            <w:pPr>
              <w:pStyle w:val="BodyText"/>
              <w:jc w:val="center"/>
            </w:pPr>
            <w:r w:rsidRPr="001E0D64">
              <w:t>(</w:t>
            </w:r>
            <w:r w:rsidR="00065069">
              <w:t>24</w:t>
            </w:r>
            <w:r w:rsidRPr="001E0D64">
              <w:t>)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341C1A49" w14:textId="1C8196DD" w:rsidR="00FF325E" w:rsidRPr="001E0D64" w:rsidRDefault="00FF325E" w:rsidP="00930668">
            <w:pPr>
              <w:pStyle w:val="BodyText"/>
              <w:jc w:val="center"/>
            </w:pPr>
            <w:r w:rsidRPr="001E0D64">
              <w:t>0,0</w:t>
            </w:r>
            <w:r w:rsidR="00637DDA" w:rsidRPr="001E0D64">
              <w:t>0</w:t>
            </w:r>
            <w:r w:rsidR="00E50FB6" w:rsidRPr="001E0D64">
              <w:t>150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  <w:vAlign w:val="center"/>
          </w:tcPr>
          <w:p w14:paraId="35292D43" w14:textId="397F8F0E" w:rsidR="00FF325E" w:rsidRPr="001E0D64" w:rsidRDefault="00FF325E" w:rsidP="00930668">
            <w:pPr>
              <w:pStyle w:val="BodyText"/>
              <w:jc w:val="center"/>
            </w:pPr>
            <w:r w:rsidRPr="001E0D64">
              <w:t>0,00</w:t>
            </w:r>
            <w:r w:rsidR="00E50FB6" w:rsidRPr="001E0D64">
              <w:t>060</w:t>
            </w:r>
          </w:p>
        </w:tc>
        <w:tc>
          <w:tcPr>
            <w:tcW w:w="569" w:type="pct"/>
            <w:vAlign w:val="center"/>
          </w:tcPr>
          <w:p w14:paraId="07BA3128" w14:textId="7C98FCAC" w:rsidR="00FF325E" w:rsidRPr="001E0D64" w:rsidRDefault="00D432B9" w:rsidP="00930668">
            <w:pPr>
              <w:pStyle w:val="BodyText"/>
              <w:jc w:val="center"/>
            </w:pPr>
            <w:r w:rsidRPr="001E0D64">
              <w:t>0,0000</w:t>
            </w:r>
            <w:r w:rsidR="00E50FB6" w:rsidRPr="001E0D64">
              <w:t>35</w:t>
            </w:r>
          </w:p>
        </w:tc>
        <w:tc>
          <w:tcPr>
            <w:tcW w:w="559" w:type="pct"/>
            <w:vAlign w:val="center"/>
          </w:tcPr>
          <w:p w14:paraId="0CFC8425" w14:textId="41BDBC48" w:rsidR="00FF325E" w:rsidRPr="001E0D64" w:rsidRDefault="008C1704" w:rsidP="00930668">
            <w:pPr>
              <w:pStyle w:val="BodyText"/>
              <w:jc w:val="center"/>
            </w:pPr>
            <w:r>
              <w:t>66</w:t>
            </w:r>
          </w:p>
          <w:p w14:paraId="4E66288A" w14:textId="0897EC95" w:rsidR="00FF325E" w:rsidRPr="001E0D64" w:rsidRDefault="00FF325E" w:rsidP="00930668">
            <w:pPr>
              <w:pStyle w:val="BodyText"/>
              <w:jc w:val="center"/>
            </w:pPr>
            <w:r w:rsidRPr="001E0D64">
              <w:t>(0,</w:t>
            </w:r>
            <w:r w:rsidR="00E50FB6" w:rsidRPr="001E0D64">
              <w:t>0</w:t>
            </w:r>
            <w:r w:rsidR="008C1704">
              <w:t>10</w:t>
            </w:r>
            <w:r w:rsidRPr="001E0D64">
              <w:t>)</w:t>
            </w:r>
          </w:p>
        </w:tc>
        <w:tc>
          <w:tcPr>
            <w:tcW w:w="522" w:type="pct"/>
            <w:tcMar>
              <w:left w:w="28" w:type="dxa"/>
              <w:right w:w="28" w:type="dxa"/>
            </w:tcMar>
            <w:vAlign w:val="center"/>
          </w:tcPr>
          <w:p w14:paraId="402E14F4" w14:textId="6D421E4F" w:rsidR="00FF325E" w:rsidRPr="001E0D64" w:rsidRDefault="008C1704" w:rsidP="00930668">
            <w:pPr>
              <w:pStyle w:val="BodyText"/>
              <w:jc w:val="center"/>
            </w:pPr>
            <w:r>
              <w:t>27</w:t>
            </w:r>
          </w:p>
          <w:p w14:paraId="42E6BC7E" w14:textId="195FD143" w:rsidR="00FF325E" w:rsidRPr="001E0D64" w:rsidRDefault="00FF325E" w:rsidP="00930668">
            <w:pPr>
              <w:pStyle w:val="BodyText"/>
              <w:jc w:val="center"/>
            </w:pPr>
            <w:r w:rsidRPr="001E0D64">
              <w:t>(0,0</w:t>
            </w:r>
            <w:r w:rsidR="00E50FB6" w:rsidRPr="001E0D64">
              <w:t>0</w:t>
            </w:r>
            <w:r w:rsidR="008C1704">
              <w:t>4</w:t>
            </w:r>
            <w:r w:rsidRPr="001E0D64">
              <w:t>)</w:t>
            </w:r>
          </w:p>
        </w:tc>
        <w:tc>
          <w:tcPr>
            <w:tcW w:w="512" w:type="pct"/>
            <w:vAlign w:val="center"/>
          </w:tcPr>
          <w:p w14:paraId="5E97CB4F" w14:textId="6E495FF6" w:rsidR="00FF325E" w:rsidRPr="001E0D64" w:rsidRDefault="008C1704" w:rsidP="00930668">
            <w:pPr>
              <w:pStyle w:val="BodyText"/>
              <w:jc w:val="center"/>
            </w:pPr>
            <w:r>
              <w:t>2</w:t>
            </w:r>
          </w:p>
          <w:p w14:paraId="4DF8B400" w14:textId="053D04B1" w:rsidR="00E37EA8" w:rsidRPr="001E0D64" w:rsidRDefault="00E37EA8" w:rsidP="00930668">
            <w:pPr>
              <w:pStyle w:val="BodyText"/>
              <w:jc w:val="center"/>
            </w:pPr>
            <w:r w:rsidRPr="001E0D64">
              <w:t>(0,00</w:t>
            </w:r>
            <w:r w:rsidR="008C1704">
              <w:t>0</w:t>
            </w:r>
            <w:r w:rsidRPr="001E0D64">
              <w:t>)</w:t>
            </w:r>
          </w:p>
        </w:tc>
      </w:tr>
      <w:tr w:rsidR="00541767" w:rsidRPr="001E0D64" w14:paraId="176CAFDE" w14:textId="77777777" w:rsidTr="00541767">
        <w:trPr>
          <w:trHeight w:val="624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9901D" w14:textId="77777777" w:rsidR="00541767" w:rsidRPr="001E0D64" w:rsidRDefault="00541767" w:rsidP="00541767">
            <w:pPr>
              <w:pStyle w:val="BodyText"/>
              <w:jc w:val="center"/>
            </w:pPr>
            <w:r w:rsidRPr="001E0D64">
              <w:t>Sõelumine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14:paraId="6A5AB061" w14:textId="787CC24B" w:rsidR="00541767" w:rsidRPr="001E0D64" w:rsidRDefault="00541767" w:rsidP="00541767">
            <w:pPr>
              <w:pStyle w:val="BodyText"/>
              <w:jc w:val="center"/>
            </w:pPr>
            <w:r w:rsidRPr="001E0D64">
              <w:t>I</w:t>
            </w:r>
            <w:r>
              <w:t xml:space="preserve"> ja II</w:t>
            </w:r>
            <w:r w:rsidRPr="001E0D64">
              <w:t xml:space="preserve"> aste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0A1DAC" w14:textId="77777777" w:rsidR="00541767" w:rsidRPr="001E0D64" w:rsidRDefault="00541767" w:rsidP="00541767">
            <w:pPr>
              <w:pStyle w:val="BodyText"/>
              <w:jc w:val="center"/>
            </w:pPr>
            <w:r>
              <w:t>176 800</w:t>
            </w:r>
          </w:p>
          <w:p w14:paraId="4BAAA2FC" w14:textId="6420F64C" w:rsidR="00541767" w:rsidRPr="001E0D64" w:rsidRDefault="00541767" w:rsidP="00541767">
            <w:pPr>
              <w:pStyle w:val="BodyText"/>
              <w:jc w:val="center"/>
            </w:pPr>
            <w:r w:rsidRPr="001E0D64">
              <w:t>(</w:t>
            </w:r>
            <w:r>
              <w:t>96</w:t>
            </w:r>
            <w:r w:rsidRPr="001E0D64">
              <w:t>)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B8DDD" w14:textId="7820B2AB" w:rsidR="00541767" w:rsidRPr="001E0D64" w:rsidRDefault="00541767" w:rsidP="00541767">
            <w:pPr>
              <w:pStyle w:val="BodyText"/>
              <w:jc w:val="center"/>
            </w:pPr>
            <w:r w:rsidRPr="001E0D64">
              <w:t>0,00110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  <w:vAlign w:val="center"/>
          </w:tcPr>
          <w:p w14:paraId="43BE3BD7" w14:textId="6F578C7F" w:rsidR="00541767" w:rsidRPr="001E0D64" w:rsidRDefault="00541767" w:rsidP="00541767">
            <w:pPr>
              <w:pStyle w:val="BodyText"/>
              <w:jc w:val="center"/>
            </w:pPr>
            <w:r w:rsidRPr="001E0D64">
              <w:t>0,00037</w:t>
            </w:r>
          </w:p>
        </w:tc>
        <w:tc>
          <w:tcPr>
            <w:tcW w:w="569" w:type="pct"/>
            <w:vAlign w:val="center"/>
          </w:tcPr>
          <w:p w14:paraId="740A77F3" w14:textId="3B6E9313" w:rsidR="00541767" w:rsidRPr="001E0D64" w:rsidRDefault="00541767" w:rsidP="00541767">
            <w:pPr>
              <w:pStyle w:val="BodyText"/>
              <w:jc w:val="center"/>
            </w:pPr>
            <w:r w:rsidRPr="001E0D64">
              <w:t>0,000025</w:t>
            </w:r>
          </w:p>
        </w:tc>
        <w:tc>
          <w:tcPr>
            <w:tcW w:w="559" w:type="pct"/>
            <w:vAlign w:val="center"/>
          </w:tcPr>
          <w:p w14:paraId="50A8A51B" w14:textId="1B1C4C64" w:rsidR="00541767" w:rsidRPr="001E0D64" w:rsidRDefault="00541767" w:rsidP="00541767">
            <w:pPr>
              <w:pStyle w:val="BodyText"/>
              <w:jc w:val="center"/>
            </w:pPr>
            <w:r>
              <w:t>1</w:t>
            </w:r>
            <w:r w:rsidR="0097012E">
              <w:t>94</w:t>
            </w:r>
          </w:p>
          <w:p w14:paraId="70D2D226" w14:textId="69893BC9" w:rsidR="00541767" w:rsidRPr="001E0D64" w:rsidRDefault="00541767" w:rsidP="00541767">
            <w:pPr>
              <w:pStyle w:val="BodyText"/>
              <w:jc w:val="center"/>
            </w:pPr>
            <w:r w:rsidRPr="001E0D64">
              <w:t>(0,0</w:t>
            </w:r>
            <w:r w:rsidR="0097012E">
              <w:t>29</w:t>
            </w:r>
            <w:r w:rsidRPr="001E0D64">
              <w:t>)</w:t>
            </w:r>
          </w:p>
        </w:tc>
        <w:tc>
          <w:tcPr>
            <w:tcW w:w="522" w:type="pct"/>
            <w:tcMar>
              <w:left w:w="28" w:type="dxa"/>
              <w:right w:w="28" w:type="dxa"/>
            </w:tcMar>
            <w:vAlign w:val="center"/>
          </w:tcPr>
          <w:p w14:paraId="62D4F7BC" w14:textId="0E7202E1" w:rsidR="00541767" w:rsidRPr="001E0D64" w:rsidRDefault="00541767" w:rsidP="00541767">
            <w:pPr>
              <w:pStyle w:val="BodyText"/>
              <w:jc w:val="center"/>
            </w:pPr>
            <w:r>
              <w:t>6</w:t>
            </w:r>
            <w:r w:rsidR="0097012E">
              <w:t>5</w:t>
            </w:r>
          </w:p>
          <w:p w14:paraId="1F30D1EC" w14:textId="56944CCD" w:rsidR="00541767" w:rsidRPr="001E0D64" w:rsidRDefault="00541767" w:rsidP="00541767">
            <w:pPr>
              <w:pStyle w:val="BodyText"/>
              <w:jc w:val="center"/>
            </w:pPr>
            <w:r w:rsidRPr="001E0D64">
              <w:t>(0,0</w:t>
            </w:r>
            <w:r>
              <w:t>10</w:t>
            </w:r>
            <w:r w:rsidRPr="001E0D64">
              <w:t>)</w:t>
            </w:r>
          </w:p>
        </w:tc>
        <w:tc>
          <w:tcPr>
            <w:tcW w:w="512" w:type="pct"/>
            <w:vAlign w:val="center"/>
          </w:tcPr>
          <w:p w14:paraId="7C96B519" w14:textId="5CC28C60" w:rsidR="00541767" w:rsidRPr="001E0D64" w:rsidRDefault="00541767" w:rsidP="00541767">
            <w:pPr>
              <w:pStyle w:val="BodyText"/>
              <w:jc w:val="center"/>
            </w:pPr>
            <w:r>
              <w:t>4</w:t>
            </w:r>
          </w:p>
          <w:p w14:paraId="2EF2106B" w14:textId="67881ADD" w:rsidR="00541767" w:rsidRPr="001E0D64" w:rsidRDefault="00541767" w:rsidP="00541767">
            <w:pPr>
              <w:pStyle w:val="BodyText"/>
              <w:jc w:val="center"/>
            </w:pPr>
            <w:r w:rsidRPr="001E0D64">
              <w:t>(0,001)</w:t>
            </w:r>
          </w:p>
        </w:tc>
      </w:tr>
      <w:tr w:rsidR="00541767" w:rsidRPr="001E0D64" w14:paraId="223F02FD" w14:textId="77777777" w:rsidTr="00541767">
        <w:trPr>
          <w:trHeight w:val="624"/>
        </w:trPr>
        <w:tc>
          <w:tcPr>
            <w:tcW w:w="635" w:type="pct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A386B4" w14:textId="77777777" w:rsidR="00541767" w:rsidRPr="001E0D64" w:rsidRDefault="00541767" w:rsidP="00541767">
            <w:pPr>
              <w:pStyle w:val="BodyText"/>
              <w:jc w:val="center"/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383EC" w14:textId="6246B81F" w:rsidR="00541767" w:rsidRPr="001E0D64" w:rsidRDefault="00541767" w:rsidP="00541767">
            <w:pPr>
              <w:pStyle w:val="BodyText"/>
              <w:jc w:val="center"/>
            </w:pPr>
            <w:r>
              <w:t>III</w:t>
            </w:r>
            <w:r w:rsidRPr="001E0D64">
              <w:t xml:space="preserve"> aste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2CA" w14:textId="77777777" w:rsidR="00541767" w:rsidRPr="001E0D64" w:rsidRDefault="00541767" w:rsidP="00541767">
            <w:pPr>
              <w:pStyle w:val="BodyText"/>
              <w:jc w:val="center"/>
            </w:pPr>
            <w:r>
              <w:t>44 200</w:t>
            </w:r>
          </w:p>
          <w:p w14:paraId="41D97769" w14:textId="112AA363" w:rsidR="00541767" w:rsidRPr="001E0D64" w:rsidRDefault="00541767" w:rsidP="00541767">
            <w:pPr>
              <w:pStyle w:val="BodyText"/>
              <w:jc w:val="center"/>
            </w:pPr>
            <w:r w:rsidRPr="001E0D64">
              <w:t>(</w:t>
            </w:r>
            <w:r>
              <w:t>24</w:t>
            </w:r>
            <w:r w:rsidRPr="001E0D64">
              <w:t>)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6E0CB" w14:textId="4A8CCC75" w:rsidR="00541767" w:rsidRPr="001E0D64" w:rsidRDefault="00541767" w:rsidP="00541767">
            <w:pPr>
              <w:pStyle w:val="BodyText"/>
              <w:jc w:val="center"/>
            </w:pPr>
            <w:r w:rsidRPr="001E0D64">
              <w:t>0,001</w:t>
            </w:r>
            <w:r>
              <w:t>8</w:t>
            </w:r>
            <w:r w:rsidRPr="001E0D64">
              <w:t>0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  <w:vAlign w:val="center"/>
          </w:tcPr>
          <w:p w14:paraId="3EAAA9EE" w14:textId="6182E9F3" w:rsidR="00541767" w:rsidRPr="001E0D64" w:rsidRDefault="00541767" w:rsidP="00541767">
            <w:pPr>
              <w:pStyle w:val="BodyText"/>
              <w:jc w:val="center"/>
            </w:pPr>
            <w:r w:rsidRPr="001E0D64">
              <w:t>0,0</w:t>
            </w:r>
            <w:r>
              <w:t>0</w:t>
            </w:r>
            <w:r w:rsidRPr="001E0D64">
              <w:t>1</w:t>
            </w:r>
            <w:r>
              <w:t>10</w:t>
            </w:r>
          </w:p>
        </w:tc>
        <w:tc>
          <w:tcPr>
            <w:tcW w:w="569" w:type="pct"/>
            <w:vAlign w:val="center"/>
          </w:tcPr>
          <w:p w14:paraId="3445F5AA" w14:textId="506BE90D" w:rsidR="00541767" w:rsidRPr="001E0D64" w:rsidRDefault="00541767" w:rsidP="00541767">
            <w:pPr>
              <w:pStyle w:val="BodyText"/>
              <w:jc w:val="center"/>
            </w:pPr>
            <w:r w:rsidRPr="001E0D64">
              <w:t>-</w:t>
            </w:r>
          </w:p>
        </w:tc>
        <w:tc>
          <w:tcPr>
            <w:tcW w:w="559" w:type="pct"/>
            <w:vAlign w:val="center"/>
          </w:tcPr>
          <w:p w14:paraId="7AEE4B4D" w14:textId="3715C1E4" w:rsidR="00541767" w:rsidRPr="001E0D64" w:rsidRDefault="0097012E" w:rsidP="00541767">
            <w:pPr>
              <w:pStyle w:val="BodyText"/>
              <w:jc w:val="center"/>
            </w:pPr>
            <w:r>
              <w:t>80</w:t>
            </w:r>
          </w:p>
          <w:p w14:paraId="22CBD34B" w14:textId="2F1D59EA" w:rsidR="00541767" w:rsidRPr="001E0D64" w:rsidRDefault="00541767" w:rsidP="00541767">
            <w:pPr>
              <w:pStyle w:val="BodyText"/>
              <w:jc w:val="center"/>
            </w:pPr>
            <w:r w:rsidRPr="001E0D64">
              <w:t>(</w:t>
            </w:r>
            <w:r>
              <w:t>0</w:t>
            </w:r>
            <w:r w:rsidRPr="001E0D64">
              <w:t>,</w:t>
            </w:r>
            <w:r>
              <w:t>0</w:t>
            </w:r>
            <w:r w:rsidR="0097012E">
              <w:t>12</w:t>
            </w:r>
            <w:r w:rsidRPr="001E0D64">
              <w:t>)</w:t>
            </w:r>
          </w:p>
        </w:tc>
        <w:tc>
          <w:tcPr>
            <w:tcW w:w="522" w:type="pct"/>
            <w:tcMar>
              <w:left w:w="28" w:type="dxa"/>
              <w:right w:w="28" w:type="dxa"/>
            </w:tcMar>
            <w:vAlign w:val="center"/>
          </w:tcPr>
          <w:p w14:paraId="0075A3B7" w14:textId="6E963EFD" w:rsidR="00541767" w:rsidRPr="001E0D64" w:rsidRDefault="0097012E" w:rsidP="00541767">
            <w:pPr>
              <w:pStyle w:val="BodyText"/>
              <w:jc w:val="center"/>
            </w:pPr>
            <w:r>
              <w:t>49</w:t>
            </w:r>
          </w:p>
          <w:p w14:paraId="3C165130" w14:textId="710E487D" w:rsidR="00541767" w:rsidRPr="001E0D64" w:rsidRDefault="00541767" w:rsidP="00541767">
            <w:pPr>
              <w:pStyle w:val="BodyText"/>
              <w:jc w:val="center"/>
            </w:pPr>
            <w:r w:rsidRPr="001E0D64">
              <w:t>(0,</w:t>
            </w:r>
            <w:r>
              <w:t>0</w:t>
            </w:r>
            <w:r w:rsidR="0097012E">
              <w:t>07</w:t>
            </w:r>
            <w:r w:rsidRPr="001E0D64">
              <w:t>)</w:t>
            </w:r>
          </w:p>
        </w:tc>
        <w:tc>
          <w:tcPr>
            <w:tcW w:w="512" w:type="pct"/>
            <w:vAlign w:val="center"/>
          </w:tcPr>
          <w:p w14:paraId="002EE620" w14:textId="6F348A14" w:rsidR="00541767" w:rsidRPr="001E0D64" w:rsidRDefault="00541767" w:rsidP="00541767">
            <w:pPr>
              <w:pStyle w:val="BodyText"/>
              <w:jc w:val="center"/>
            </w:pPr>
            <w:r w:rsidRPr="001E0D64">
              <w:t>-</w:t>
            </w:r>
          </w:p>
        </w:tc>
      </w:tr>
      <w:tr w:rsidR="0006232B" w:rsidRPr="00F92A28" w14:paraId="555CE0B9" w14:textId="77777777" w:rsidTr="00541767">
        <w:trPr>
          <w:gridBefore w:val="4"/>
          <w:wBefore w:w="2316" w:type="pct"/>
          <w:trHeight w:val="624"/>
        </w:trPr>
        <w:tc>
          <w:tcPr>
            <w:tcW w:w="1091" w:type="pct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26193" w14:textId="77777777" w:rsidR="00FF325E" w:rsidRPr="001E0D64" w:rsidRDefault="00FF325E" w:rsidP="00930668">
            <w:pPr>
              <w:pStyle w:val="BodyText"/>
              <w:jc w:val="center"/>
            </w:pPr>
            <w:r w:rsidRPr="001E0D64">
              <w:t>Kokku</w:t>
            </w:r>
          </w:p>
        </w:tc>
        <w:tc>
          <w:tcPr>
            <w:tcW w:w="559" w:type="pct"/>
            <w:vAlign w:val="center"/>
          </w:tcPr>
          <w:p w14:paraId="67463F6F" w14:textId="1CBFCEC0" w:rsidR="00FF325E" w:rsidRPr="001E0D64" w:rsidRDefault="0097012E" w:rsidP="00930668">
            <w:pPr>
              <w:pStyle w:val="BodyText"/>
              <w:jc w:val="center"/>
            </w:pPr>
            <w:r>
              <w:t>446</w:t>
            </w:r>
          </w:p>
          <w:p w14:paraId="0CFC68E8" w14:textId="788E996D" w:rsidR="00FF325E" w:rsidRPr="001E0D64" w:rsidRDefault="00FF325E" w:rsidP="00930668">
            <w:pPr>
              <w:pStyle w:val="BodyText"/>
              <w:jc w:val="center"/>
            </w:pPr>
            <w:r w:rsidRPr="001E0D64">
              <w:t>(</w:t>
            </w:r>
            <w:r w:rsidR="0080068E">
              <w:t>0</w:t>
            </w:r>
            <w:r w:rsidR="0006232B" w:rsidRPr="001E0D64">
              <w:t>,</w:t>
            </w:r>
            <w:r w:rsidR="0080068E">
              <w:t>0</w:t>
            </w:r>
            <w:r w:rsidR="0097012E">
              <w:t>67</w:t>
            </w:r>
            <w:r w:rsidRPr="001E0D64">
              <w:t>)</w:t>
            </w:r>
          </w:p>
        </w:tc>
        <w:tc>
          <w:tcPr>
            <w:tcW w:w="522" w:type="pct"/>
            <w:tcMar>
              <w:left w:w="28" w:type="dxa"/>
              <w:right w:w="28" w:type="dxa"/>
            </w:tcMar>
            <w:vAlign w:val="center"/>
          </w:tcPr>
          <w:p w14:paraId="4A514F1E" w14:textId="305C1566" w:rsidR="00FF325E" w:rsidRPr="001E0D64" w:rsidRDefault="0097012E" w:rsidP="00930668">
            <w:pPr>
              <w:pStyle w:val="BodyText"/>
              <w:jc w:val="center"/>
            </w:pPr>
            <w:r>
              <w:t>188</w:t>
            </w:r>
          </w:p>
          <w:p w14:paraId="2C550CA3" w14:textId="74F0586E" w:rsidR="00FF325E" w:rsidRPr="001E0D64" w:rsidRDefault="00FF325E" w:rsidP="00930668">
            <w:pPr>
              <w:pStyle w:val="BodyText"/>
              <w:jc w:val="center"/>
            </w:pPr>
            <w:r w:rsidRPr="001E0D64">
              <w:t>(0,</w:t>
            </w:r>
            <w:r w:rsidR="0080068E">
              <w:t>0</w:t>
            </w:r>
            <w:r w:rsidR="0097012E">
              <w:t>28</w:t>
            </w:r>
            <w:r w:rsidRPr="001E0D64">
              <w:t>)</w:t>
            </w:r>
          </w:p>
        </w:tc>
        <w:tc>
          <w:tcPr>
            <w:tcW w:w="512" w:type="pct"/>
            <w:vAlign w:val="center"/>
          </w:tcPr>
          <w:p w14:paraId="1B0876C0" w14:textId="3D7CB0D6" w:rsidR="00FF325E" w:rsidRPr="001E0D64" w:rsidRDefault="00910EA1" w:rsidP="00930668">
            <w:pPr>
              <w:pStyle w:val="BodyText"/>
              <w:jc w:val="center"/>
            </w:pPr>
            <w:r w:rsidRPr="001E0D64">
              <w:t>1</w:t>
            </w:r>
            <w:r w:rsidR="0097012E">
              <w:t>5</w:t>
            </w:r>
          </w:p>
          <w:p w14:paraId="0C9543F6" w14:textId="4B54C77B" w:rsidR="00910EA1" w:rsidRDefault="00910EA1" w:rsidP="00930668">
            <w:pPr>
              <w:pStyle w:val="BodyText"/>
              <w:jc w:val="center"/>
            </w:pPr>
            <w:r w:rsidRPr="001E0D64">
              <w:t>(0,00</w:t>
            </w:r>
            <w:r w:rsidR="0097012E">
              <w:t>2</w:t>
            </w:r>
            <w:r w:rsidRPr="001E0D64">
              <w:t>)</w:t>
            </w:r>
          </w:p>
        </w:tc>
      </w:tr>
    </w:tbl>
    <w:p w14:paraId="27DF3595" w14:textId="13C23A8E" w:rsidR="00590AAD" w:rsidRDefault="00590AAD"/>
    <w:p w14:paraId="1D4D0712" w14:textId="77777777" w:rsidR="005929CB" w:rsidRDefault="005929CB"/>
    <w:p w14:paraId="594F265E" w14:textId="57276451" w:rsidR="00E27BF0" w:rsidRDefault="00E27BF0" w:rsidP="005929CB">
      <w:pPr>
        <w:pStyle w:val="Heading2"/>
      </w:pPr>
      <w:r>
        <w:t xml:space="preserve">Paiksed mootorid (diiselgeneraator) - heiteallikas </w:t>
      </w:r>
      <w:r w:rsidR="005C5259">
        <w:t xml:space="preserve">nr </w:t>
      </w:r>
      <w:r w:rsidR="000147E7">
        <w:t>4</w:t>
      </w:r>
    </w:p>
    <w:p w14:paraId="740A7424" w14:textId="77777777" w:rsidR="002305AA" w:rsidRDefault="002305AA" w:rsidP="002305AA">
      <w:pPr>
        <w:jc w:val="both"/>
      </w:pPr>
    </w:p>
    <w:p w14:paraId="21E356A6" w14:textId="7387788B" w:rsidR="002305AA" w:rsidRDefault="002305AA" w:rsidP="002305AA">
      <w:pPr>
        <w:jc w:val="both"/>
      </w:pPr>
      <w:r>
        <w:t xml:space="preserve">Purustus-sorteerimissõlme ehk heiteallika nr 3 purusti ja sõelur </w:t>
      </w:r>
      <w:r w:rsidR="005C5259">
        <w:t xml:space="preserve">tarvitavad diiselkütust, mille tulemusel </w:t>
      </w:r>
      <w:r>
        <w:t xml:space="preserve">eraldub välisõhku saasteaineid. </w:t>
      </w:r>
    </w:p>
    <w:p w14:paraId="297FDE72" w14:textId="77777777" w:rsidR="002305AA" w:rsidRDefault="002305AA" w:rsidP="002305AA">
      <w:pPr>
        <w:jc w:val="both"/>
      </w:pPr>
    </w:p>
    <w:p w14:paraId="29858179" w14:textId="2A937A16" w:rsidR="002305AA" w:rsidRPr="006F5395" w:rsidRDefault="00F977CC" w:rsidP="002305AA">
      <w:pPr>
        <w:pStyle w:val="ListParagraph"/>
        <w:numPr>
          <w:ilvl w:val="0"/>
          <w:numId w:val="1"/>
        </w:numPr>
        <w:jc w:val="both"/>
      </w:pPr>
      <w:r>
        <w:t>T</w:t>
      </w:r>
      <w:r w:rsidR="009B2370">
        <w:t xml:space="preserve">ootmisalal </w:t>
      </w:r>
      <w:r>
        <w:t xml:space="preserve">kasutatakse </w:t>
      </w:r>
      <w:r w:rsidR="009B2370">
        <w:t>l</w:t>
      </w:r>
      <w:r w:rsidR="002305AA" w:rsidRPr="006F5395">
        <w:t>õugpurusti</w:t>
      </w:r>
      <w:r w:rsidR="009B2370">
        <w:t>t</w:t>
      </w:r>
      <w:r w:rsidR="00DE4476">
        <w:t xml:space="preserve">, </w:t>
      </w:r>
      <w:r>
        <w:t xml:space="preserve">mille arvestuslik keskmine </w:t>
      </w:r>
      <w:r w:rsidR="009B2370">
        <w:t xml:space="preserve">kütusekulu </w:t>
      </w:r>
      <w:r w:rsidR="00566F2E">
        <w:t>30</w:t>
      </w:r>
      <w:r w:rsidR="009B2370">
        <w:t xml:space="preserve"> L/h </w:t>
      </w:r>
      <w:r w:rsidR="002305AA" w:rsidRPr="006F5395">
        <w:t xml:space="preserve">ehk </w:t>
      </w:r>
      <w:r w:rsidR="00566F2E">
        <w:t>25,5</w:t>
      </w:r>
      <w:r w:rsidR="002305AA" w:rsidRPr="006F5395">
        <w:t xml:space="preserve"> kg/h.</w:t>
      </w:r>
    </w:p>
    <w:p w14:paraId="01C4D26E" w14:textId="03DE2A46" w:rsidR="002305AA" w:rsidRPr="006F5395" w:rsidRDefault="002305AA" w:rsidP="002305AA">
      <w:pPr>
        <w:pStyle w:val="ListParagraph"/>
        <w:numPr>
          <w:ilvl w:val="0"/>
          <w:numId w:val="1"/>
        </w:numPr>
        <w:jc w:val="both"/>
      </w:pPr>
      <w:r w:rsidRPr="006F5395">
        <w:t>Sõela diisel</w:t>
      </w:r>
      <w:r w:rsidR="00A726C1">
        <w:t>kütuse arvest</w:t>
      </w:r>
      <w:r w:rsidRPr="006F5395">
        <w:t xml:space="preserve">uslik kulu on </w:t>
      </w:r>
      <w:r w:rsidR="008949EC">
        <w:t>35</w:t>
      </w:r>
      <w:r w:rsidR="00B10E34">
        <w:t xml:space="preserve"> L/h</w:t>
      </w:r>
      <w:r w:rsidRPr="006F5395">
        <w:t xml:space="preserve"> ehk </w:t>
      </w:r>
      <w:r w:rsidR="008949EC">
        <w:t>21,3</w:t>
      </w:r>
      <w:r w:rsidRPr="006F5395">
        <w:t xml:space="preserve"> kg/h.</w:t>
      </w:r>
    </w:p>
    <w:p w14:paraId="76C986C5" w14:textId="77777777" w:rsidR="002305AA" w:rsidRDefault="002305AA" w:rsidP="002305AA">
      <w:pPr>
        <w:jc w:val="both"/>
      </w:pPr>
    </w:p>
    <w:p w14:paraId="2C443858" w14:textId="5A15FB25" w:rsidR="002305AA" w:rsidRDefault="002305AA" w:rsidP="002305AA">
      <w:pPr>
        <w:jc w:val="both"/>
      </w:pPr>
      <w:r>
        <w:t>Lähtuvalt purustus-sorteerimissõlme tööajast (</w:t>
      </w:r>
      <w:r w:rsidR="00B435E8">
        <w:t>1 842</w:t>
      </w:r>
      <w:r>
        <w:t xml:space="preserve"> tundi/aastas), kujuneb aastaseks tarbitavaks kütuse koguseks</w:t>
      </w:r>
      <w:r w:rsidR="00487EF8">
        <w:t xml:space="preserve"> kuni </w:t>
      </w:r>
      <w:r w:rsidR="00B435E8">
        <w:t>86,1</w:t>
      </w:r>
      <w:r>
        <w:t> t diislikütust ning põletusseadme summaarseks nimisoojusvõimsuseks 0,</w:t>
      </w:r>
      <w:r w:rsidR="00B40ED6">
        <w:t>56</w:t>
      </w:r>
      <w:r>
        <w:t> MWth.</w:t>
      </w:r>
    </w:p>
    <w:p w14:paraId="50324D6D" w14:textId="77777777" w:rsidR="002305AA" w:rsidRDefault="002305AA" w:rsidP="002305AA">
      <w:pPr>
        <w:jc w:val="both"/>
      </w:pPr>
    </w:p>
    <w:p w14:paraId="12E1BDDB" w14:textId="1E15C0BE" w:rsidR="00E408EA" w:rsidRDefault="00A1146F" w:rsidP="00A1146F">
      <w:pPr>
        <w:jc w:val="both"/>
      </w:pPr>
      <w:r w:rsidRPr="00E408EA">
        <w:lastRenderedPageBreak/>
        <w:t>Kütuse põletamisel eralduvad heitmete arvutamine toimub automaatselt KOTKASe süsteemis</w:t>
      </w:r>
      <w:r w:rsidR="00E408EA">
        <w:t xml:space="preserve"> </w:t>
      </w:r>
      <w:r w:rsidR="007752D5">
        <w:t>keskkonna</w:t>
      </w:r>
      <w:r w:rsidRPr="00E408EA">
        <w:t>loa taotluse tabelis 4.4.7 vastavalt riiklikule metoodikale, mis on toodud keskkonnaministri 24.11.2016. a määruses nr 59 „Põletusseadmetest ja põlevkivi termilisest töötlemisest välisõhku väljutatavate saasteainete heidete mõõtmise ja arvutusliku määramise meetodid“ ning 27.12.2016.</w:t>
      </w:r>
      <w:r w:rsidR="004C20AA">
        <w:t> </w:t>
      </w:r>
      <w:r w:rsidRPr="00E408EA">
        <w:t>a määruses nr 86 „Välisõhku väljutatava süsinikdioksiidi heite arvutusliku määramise meetodid“.</w:t>
      </w:r>
      <w:r w:rsidR="00E408EA">
        <w:t xml:space="preserve"> </w:t>
      </w:r>
      <w:r w:rsidR="00970F79">
        <w:t>Seetõttu ei ole siinkohal eraldiseisvalt esitatud arvutuskäigu näidist põletusseadmetest eralduvate heitmete kohta.</w:t>
      </w:r>
    </w:p>
    <w:p w14:paraId="12D63729" w14:textId="793D2950" w:rsidR="005929CB" w:rsidRDefault="005929CB" w:rsidP="00A1146F">
      <w:pPr>
        <w:jc w:val="both"/>
      </w:pPr>
    </w:p>
    <w:sectPr w:rsidR="005929CB" w:rsidSect="00565DB0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8446" w14:textId="77777777" w:rsidR="00965016" w:rsidRDefault="00965016" w:rsidP="006F5D6B">
      <w:r>
        <w:separator/>
      </w:r>
    </w:p>
  </w:endnote>
  <w:endnote w:type="continuationSeparator" w:id="0">
    <w:p w14:paraId="49C0E138" w14:textId="77777777" w:rsidR="00965016" w:rsidRDefault="00965016" w:rsidP="006F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59950"/>
      <w:docPartObj>
        <w:docPartGallery w:val="Page Numbers (Bottom of Page)"/>
        <w:docPartUnique/>
      </w:docPartObj>
    </w:sdtPr>
    <w:sdtEndPr/>
    <w:sdtContent>
      <w:p w14:paraId="2F5ADBBC" w14:textId="354723E2" w:rsidR="00B6724E" w:rsidRDefault="00B672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20C5C" w14:textId="77777777" w:rsidR="00B6724E" w:rsidRDefault="00B67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E6E4" w14:textId="77777777" w:rsidR="00965016" w:rsidRDefault="00965016" w:rsidP="006F5D6B">
      <w:r>
        <w:separator/>
      </w:r>
    </w:p>
  </w:footnote>
  <w:footnote w:type="continuationSeparator" w:id="0">
    <w:p w14:paraId="6170D6E5" w14:textId="77777777" w:rsidR="00965016" w:rsidRDefault="00965016" w:rsidP="006F5D6B">
      <w:r>
        <w:continuationSeparator/>
      </w:r>
    </w:p>
  </w:footnote>
  <w:footnote w:id="1">
    <w:p w14:paraId="01424A47" w14:textId="77777777" w:rsidR="00FF6667" w:rsidRPr="006F5D6B" w:rsidRDefault="00FF6667" w:rsidP="00FF66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25019">
        <w:t>Tomberg, T. Lõhketööd. Tallinna Tehnikaülikool, Mäeinstituut, Tallinn 1998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0E6"/>
    <w:multiLevelType w:val="hybridMultilevel"/>
    <w:tmpl w:val="47F6F696"/>
    <w:lvl w:ilvl="0" w:tplc="8CC87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7225"/>
    <w:multiLevelType w:val="hybridMultilevel"/>
    <w:tmpl w:val="4BDE0964"/>
    <w:lvl w:ilvl="0" w:tplc="96FA6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83F98"/>
    <w:multiLevelType w:val="hybridMultilevel"/>
    <w:tmpl w:val="A7C0F076"/>
    <w:lvl w:ilvl="0" w:tplc="B5FE45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7110B"/>
    <w:multiLevelType w:val="hybridMultilevel"/>
    <w:tmpl w:val="529A2E74"/>
    <w:lvl w:ilvl="0" w:tplc="E0A82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MLY0sDQ2N7Q0MjJQ0lEKTi0uzszPAykwrgUAi3LTzywAAAA="/>
  </w:docVars>
  <w:rsids>
    <w:rsidRoot w:val="00E3542E"/>
    <w:rsid w:val="000009F4"/>
    <w:rsid w:val="000107ED"/>
    <w:rsid w:val="00012CE7"/>
    <w:rsid w:val="00012DB9"/>
    <w:rsid w:val="00012E2D"/>
    <w:rsid w:val="000147E7"/>
    <w:rsid w:val="00017445"/>
    <w:rsid w:val="00017688"/>
    <w:rsid w:val="00021419"/>
    <w:rsid w:val="000239F3"/>
    <w:rsid w:val="00033129"/>
    <w:rsid w:val="000373DA"/>
    <w:rsid w:val="0003794B"/>
    <w:rsid w:val="00042B76"/>
    <w:rsid w:val="00042EAB"/>
    <w:rsid w:val="00044138"/>
    <w:rsid w:val="00046C18"/>
    <w:rsid w:val="00053067"/>
    <w:rsid w:val="0006232B"/>
    <w:rsid w:val="00065069"/>
    <w:rsid w:val="000673F2"/>
    <w:rsid w:val="00074905"/>
    <w:rsid w:val="00080F5E"/>
    <w:rsid w:val="00091F7E"/>
    <w:rsid w:val="0009375D"/>
    <w:rsid w:val="000B4453"/>
    <w:rsid w:val="000B564C"/>
    <w:rsid w:val="000C6961"/>
    <w:rsid w:val="000D6052"/>
    <w:rsid w:val="000F1821"/>
    <w:rsid w:val="000F1CA5"/>
    <w:rsid w:val="000F6A21"/>
    <w:rsid w:val="001007B2"/>
    <w:rsid w:val="00101A8D"/>
    <w:rsid w:val="00101D7D"/>
    <w:rsid w:val="00102578"/>
    <w:rsid w:val="00103B4D"/>
    <w:rsid w:val="00103B54"/>
    <w:rsid w:val="0010525B"/>
    <w:rsid w:val="00106C68"/>
    <w:rsid w:val="00110232"/>
    <w:rsid w:val="00110C79"/>
    <w:rsid w:val="0011162C"/>
    <w:rsid w:val="001136C5"/>
    <w:rsid w:val="0011515E"/>
    <w:rsid w:val="00120B30"/>
    <w:rsid w:val="00121464"/>
    <w:rsid w:val="0012444D"/>
    <w:rsid w:val="0012620F"/>
    <w:rsid w:val="00130788"/>
    <w:rsid w:val="00131FC5"/>
    <w:rsid w:val="001336B3"/>
    <w:rsid w:val="00133D97"/>
    <w:rsid w:val="001377A5"/>
    <w:rsid w:val="00140F75"/>
    <w:rsid w:val="00141E16"/>
    <w:rsid w:val="00144028"/>
    <w:rsid w:val="00146716"/>
    <w:rsid w:val="00147DE9"/>
    <w:rsid w:val="00152458"/>
    <w:rsid w:val="00162F45"/>
    <w:rsid w:val="0016362E"/>
    <w:rsid w:val="00165F17"/>
    <w:rsid w:val="00172B59"/>
    <w:rsid w:val="00173FDE"/>
    <w:rsid w:val="00181663"/>
    <w:rsid w:val="00182E03"/>
    <w:rsid w:val="00183B8D"/>
    <w:rsid w:val="00185FCC"/>
    <w:rsid w:val="0018623F"/>
    <w:rsid w:val="00190B40"/>
    <w:rsid w:val="00190F75"/>
    <w:rsid w:val="0019380F"/>
    <w:rsid w:val="001A578C"/>
    <w:rsid w:val="001B6D26"/>
    <w:rsid w:val="001B745D"/>
    <w:rsid w:val="001B79B1"/>
    <w:rsid w:val="001B7FF3"/>
    <w:rsid w:val="001C26E6"/>
    <w:rsid w:val="001C39E2"/>
    <w:rsid w:val="001C6DFD"/>
    <w:rsid w:val="001C6F25"/>
    <w:rsid w:val="001D5181"/>
    <w:rsid w:val="001D59B1"/>
    <w:rsid w:val="001D76A0"/>
    <w:rsid w:val="001E0D64"/>
    <w:rsid w:val="001E17C5"/>
    <w:rsid w:val="001E7436"/>
    <w:rsid w:val="001F21BE"/>
    <w:rsid w:val="001F3E6D"/>
    <w:rsid w:val="002105D9"/>
    <w:rsid w:val="0021500A"/>
    <w:rsid w:val="0022273C"/>
    <w:rsid w:val="00222A51"/>
    <w:rsid w:val="002244F3"/>
    <w:rsid w:val="0022711E"/>
    <w:rsid w:val="002305AA"/>
    <w:rsid w:val="00230893"/>
    <w:rsid w:val="00231653"/>
    <w:rsid w:val="00231A6F"/>
    <w:rsid w:val="00233598"/>
    <w:rsid w:val="00242762"/>
    <w:rsid w:val="00243417"/>
    <w:rsid w:val="0024657A"/>
    <w:rsid w:val="00247431"/>
    <w:rsid w:val="0025216D"/>
    <w:rsid w:val="00252B4B"/>
    <w:rsid w:val="00254244"/>
    <w:rsid w:val="002557CB"/>
    <w:rsid w:val="00255D4B"/>
    <w:rsid w:val="00257F7A"/>
    <w:rsid w:val="00266102"/>
    <w:rsid w:val="00270496"/>
    <w:rsid w:val="0027369A"/>
    <w:rsid w:val="00282365"/>
    <w:rsid w:val="00282900"/>
    <w:rsid w:val="00284A20"/>
    <w:rsid w:val="00284D17"/>
    <w:rsid w:val="00286C28"/>
    <w:rsid w:val="00287701"/>
    <w:rsid w:val="0029078D"/>
    <w:rsid w:val="002948C1"/>
    <w:rsid w:val="00295EAA"/>
    <w:rsid w:val="00297DBC"/>
    <w:rsid w:val="002A2BE4"/>
    <w:rsid w:val="002A334A"/>
    <w:rsid w:val="002A5160"/>
    <w:rsid w:val="002A5910"/>
    <w:rsid w:val="002B17D5"/>
    <w:rsid w:val="002B3843"/>
    <w:rsid w:val="002B7127"/>
    <w:rsid w:val="002C00D0"/>
    <w:rsid w:val="002C354A"/>
    <w:rsid w:val="002C47E3"/>
    <w:rsid w:val="002D29DC"/>
    <w:rsid w:val="002D2BA2"/>
    <w:rsid w:val="002D5827"/>
    <w:rsid w:val="002D7D70"/>
    <w:rsid w:val="002E1CDC"/>
    <w:rsid w:val="002E2DE9"/>
    <w:rsid w:val="002E51BE"/>
    <w:rsid w:val="002F01F7"/>
    <w:rsid w:val="002F1797"/>
    <w:rsid w:val="002F184A"/>
    <w:rsid w:val="002F244A"/>
    <w:rsid w:val="002F2EEF"/>
    <w:rsid w:val="002F3542"/>
    <w:rsid w:val="002F6948"/>
    <w:rsid w:val="003031D7"/>
    <w:rsid w:val="003037D8"/>
    <w:rsid w:val="00306347"/>
    <w:rsid w:val="003065D1"/>
    <w:rsid w:val="003132DD"/>
    <w:rsid w:val="00315868"/>
    <w:rsid w:val="00323C38"/>
    <w:rsid w:val="00325552"/>
    <w:rsid w:val="00327070"/>
    <w:rsid w:val="00331CCD"/>
    <w:rsid w:val="00337447"/>
    <w:rsid w:val="0034316F"/>
    <w:rsid w:val="00345C01"/>
    <w:rsid w:val="003467A0"/>
    <w:rsid w:val="003469EB"/>
    <w:rsid w:val="00353266"/>
    <w:rsid w:val="0035640D"/>
    <w:rsid w:val="00360348"/>
    <w:rsid w:val="00366B09"/>
    <w:rsid w:val="00366EDA"/>
    <w:rsid w:val="00367C84"/>
    <w:rsid w:val="00370162"/>
    <w:rsid w:val="003704AD"/>
    <w:rsid w:val="003756C2"/>
    <w:rsid w:val="00385258"/>
    <w:rsid w:val="00391ECC"/>
    <w:rsid w:val="00392439"/>
    <w:rsid w:val="003965AD"/>
    <w:rsid w:val="003A1AFD"/>
    <w:rsid w:val="003A4A41"/>
    <w:rsid w:val="003A57FC"/>
    <w:rsid w:val="003A7997"/>
    <w:rsid w:val="003B0EDA"/>
    <w:rsid w:val="003B52F8"/>
    <w:rsid w:val="003B6D11"/>
    <w:rsid w:val="003C0450"/>
    <w:rsid w:val="003C0785"/>
    <w:rsid w:val="003C5AC3"/>
    <w:rsid w:val="003C6721"/>
    <w:rsid w:val="003D26DF"/>
    <w:rsid w:val="003D31C2"/>
    <w:rsid w:val="003D41FE"/>
    <w:rsid w:val="003E5EE8"/>
    <w:rsid w:val="003F171A"/>
    <w:rsid w:val="003F2194"/>
    <w:rsid w:val="003F524E"/>
    <w:rsid w:val="003F608F"/>
    <w:rsid w:val="003F7775"/>
    <w:rsid w:val="00400211"/>
    <w:rsid w:val="00403393"/>
    <w:rsid w:val="004037BF"/>
    <w:rsid w:val="0040589F"/>
    <w:rsid w:val="00407E50"/>
    <w:rsid w:val="00410295"/>
    <w:rsid w:val="004120F6"/>
    <w:rsid w:val="00412195"/>
    <w:rsid w:val="0041513E"/>
    <w:rsid w:val="00422684"/>
    <w:rsid w:val="00427CB8"/>
    <w:rsid w:val="0043032B"/>
    <w:rsid w:val="00432E65"/>
    <w:rsid w:val="00435811"/>
    <w:rsid w:val="00437BFC"/>
    <w:rsid w:val="0044258B"/>
    <w:rsid w:val="004425F3"/>
    <w:rsid w:val="0044500B"/>
    <w:rsid w:val="0046090D"/>
    <w:rsid w:val="00460B5B"/>
    <w:rsid w:val="004701A1"/>
    <w:rsid w:val="00471E32"/>
    <w:rsid w:val="00472E1A"/>
    <w:rsid w:val="00476AF4"/>
    <w:rsid w:val="00476CCF"/>
    <w:rsid w:val="00485360"/>
    <w:rsid w:val="00487EF8"/>
    <w:rsid w:val="004910C7"/>
    <w:rsid w:val="00491993"/>
    <w:rsid w:val="00495254"/>
    <w:rsid w:val="004A078C"/>
    <w:rsid w:val="004A07FA"/>
    <w:rsid w:val="004A0DAB"/>
    <w:rsid w:val="004A0F1C"/>
    <w:rsid w:val="004A19A5"/>
    <w:rsid w:val="004A2219"/>
    <w:rsid w:val="004A3786"/>
    <w:rsid w:val="004A5339"/>
    <w:rsid w:val="004A70A4"/>
    <w:rsid w:val="004A7DB7"/>
    <w:rsid w:val="004A7F00"/>
    <w:rsid w:val="004B10DF"/>
    <w:rsid w:val="004B1F8A"/>
    <w:rsid w:val="004B496A"/>
    <w:rsid w:val="004B4C9D"/>
    <w:rsid w:val="004B585C"/>
    <w:rsid w:val="004C20AA"/>
    <w:rsid w:val="004C48E4"/>
    <w:rsid w:val="004D1902"/>
    <w:rsid w:val="004D4410"/>
    <w:rsid w:val="004D56F2"/>
    <w:rsid w:val="004D68B3"/>
    <w:rsid w:val="004D7065"/>
    <w:rsid w:val="004E0368"/>
    <w:rsid w:val="004E0A92"/>
    <w:rsid w:val="004E0F8D"/>
    <w:rsid w:val="004E6655"/>
    <w:rsid w:val="004E7A21"/>
    <w:rsid w:val="004F188F"/>
    <w:rsid w:val="004F76A5"/>
    <w:rsid w:val="005001BD"/>
    <w:rsid w:val="00503322"/>
    <w:rsid w:val="0051080B"/>
    <w:rsid w:val="00510FFF"/>
    <w:rsid w:val="005128B5"/>
    <w:rsid w:val="00514C75"/>
    <w:rsid w:val="00514CF1"/>
    <w:rsid w:val="0051527C"/>
    <w:rsid w:val="00515B24"/>
    <w:rsid w:val="00515CC1"/>
    <w:rsid w:val="00522E07"/>
    <w:rsid w:val="00525019"/>
    <w:rsid w:val="00530B39"/>
    <w:rsid w:val="00537C36"/>
    <w:rsid w:val="00541767"/>
    <w:rsid w:val="00541B2D"/>
    <w:rsid w:val="00546947"/>
    <w:rsid w:val="0054695E"/>
    <w:rsid w:val="00547004"/>
    <w:rsid w:val="0055189F"/>
    <w:rsid w:val="00555F75"/>
    <w:rsid w:val="005569D9"/>
    <w:rsid w:val="00556D3E"/>
    <w:rsid w:val="005636B8"/>
    <w:rsid w:val="00565850"/>
    <w:rsid w:val="00565DB0"/>
    <w:rsid w:val="00566F2E"/>
    <w:rsid w:val="00567270"/>
    <w:rsid w:val="005704C4"/>
    <w:rsid w:val="00577DC4"/>
    <w:rsid w:val="00577ED9"/>
    <w:rsid w:val="00581713"/>
    <w:rsid w:val="00583121"/>
    <w:rsid w:val="005834F5"/>
    <w:rsid w:val="00583FC0"/>
    <w:rsid w:val="0058457F"/>
    <w:rsid w:val="00590AAD"/>
    <w:rsid w:val="00590F55"/>
    <w:rsid w:val="005929CB"/>
    <w:rsid w:val="005A265A"/>
    <w:rsid w:val="005A3769"/>
    <w:rsid w:val="005B1A97"/>
    <w:rsid w:val="005B38BA"/>
    <w:rsid w:val="005C5259"/>
    <w:rsid w:val="005D29D1"/>
    <w:rsid w:val="005D30EE"/>
    <w:rsid w:val="005E07BC"/>
    <w:rsid w:val="005E6C97"/>
    <w:rsid w:val="005E780E"/>
    <w:rsid w:val="005F33E2"/>
    <w:rsid w:val="005F5A86"/>
    <w:rsid w:val="005F76F3"/>
    <w:rsid w:val="00606338"/>
    <w:rsid w:val="006125B4"/>
    <w:rsid w:val="006138FF"/>
    <w:rsid w:val="00615E59"/>
    <w:rsid w:val="00615E60"/>
    <w:rsid w:val="00634A11"/>
    <w:rsid w:val="00635BA4"/>
    <w:rsid w:val="00637DDA"/>
    <w:rsid w:val="00641BE1"/>
    <w:rsid w:val="00645BD1"/>
    <w:rsid w:val="006467AE"/>
    <w:rsid w:val="00653C45"/>
    <w:rsid w:val="0065777D"/>
    <w:rsid w:val="00662B15"/>
    <w:rsid w:val="00663437"/>
    <w:rsid w:val="006648A1"/>
    <w:rsid w:val="00667320"/>
    <w:rsid w:val="00667E2D"/>
    <w:rsid w:val="00670500"/>
    <w:rsid w:val="00672A93"/>
    <w:rsid w:val="00672CA3"/>
    <w:rsid w:val="00674CFB"/>
    <w:rsid w:val="00677FD1"/>
    <w:rsid w:val="006A22DB"/>
    <w:rsid w:val="006A2B20"/>
    <w:rsid w:val="006A38E8"/>
    <w:rsid w:val="006A4ABD"/>
    <w:rsid w:val="006A7B6D"/>
    <w:rsid w:val="006B0842"/>
    <w:rsid w:val="006B2DA9"/>
    <w:rsid w:val="006B5520"/>
    <w:rsid w:val="006B7CE4"/>
    <w:rsid w:val="006C14B7"/>
    <w:rsid w:val="006C6226"/>
    <w:rsid w:val="006D19AF"/>
    <w:rsid w:val="006D1AC5"/>
    <w:rsid w:val="006D1AE2"/>
    <w:rsid w:val="006D57AA"/>
    <w:rsid w:val="006E3A84"/>
    <w:rsid w:val="006E514B"/>
    <w:rsid w:val="006E637E"/>
    <w:rsid w:val="006F3CED"/>
    <w:rsid w:val="006F5D6B"/>
    <w:rsid w:val="006F7B0F"/>
    <w:rsid w:val="00700135"/>
    <w:rsid w:val="00702602"/>
    <w:rsid w:val="00703AD9"/>
    <w:rsid w:val="00707FAD"/>
    <w:rsid w:val="0071110F"/>
    <w:rsid w:val="00715BBA"/>
    <w:rsid w:val="0071657D"/>
    <w:rsid w:val="00716D7B"/>
    <w:rsid w:val="007175E2"/>
    <w:rsid w:val="00717AF5"/>
    <w:rsid w:val="0072108F"/>
    <w:rsid w:val="0072110F"/>
    <w:rsid w:val="007224A2"/>
    <w:rsid w:val="0072497F"/>
    <w:rsid w:val="00725E14"/>
    <w:rsid w:val="0072703A"/>
    <w:rsid w:val="007310D6"/>
    <w:rsid w:val="00734141"/>
    <w:rsid w:val="00736966"/>
    <w:rsid w:val="00737780"/>
    <w:rsid w:val="00737CDD"/>
    <w:rsid w:val="00743D4D"/>
    <w:rsid w:val="0074575E"/>
    <w:rsid w:val="00746587"/>
    <w:rsid w:val="00747031"/>
    <w:rsid w:val="00761E25"/>
    <w:rsid w:val="00762BF4"/>
    <w:rsid w:val="0076528F"/>
    <w:rsid w:val="007662A0"/>
    <w:rsid w:val="007752D5"/>
    <w:rsid w:val="00791F62"/>
    <w:rsid w:val="00793544"/>
    <w:rsid w:val="007941D2"/>
    <w:rsid w:val="00797631"/>
    <w:rsid w:val="00797E4C"/>
    <w:rsid w:val="007A1F61"/>
    <w:rsid w:val="007A4707"/>
    <w:rsid w:val="007A6816"/>
    <w:rsid w:val="007B67C4"/>
    <w:rsid w:val="007C1E7A"/>
    <w:rsid w:val="007C2365"/>
    <w:rsid w:val="007C54E5"/>
    <w:rsid w:val="007C5E87"/>
    <w:rsid w:val="007E5B3B"/>
    <w:rsid w:val="007F0DB8"/>
    <w:rsid w:val="007F21E5"/>
    <w:rsid w:val="007F7564"/>
    <w:rsid w:val="0080068E"/>
    <w:rsid w:val="00800A47"/>
    <w:rsid w:val="00801521"/>
    <w:rsid w:val="00804DAE"/>
    <w:rsid w:val="008051D2"/>
    <w:rsid w:val="00805537"/>
    <w:rsid w:val="008057BF"/>
    <w:rsid w:val="008067DC"/>
    <w:rsid w:val="00810A37"/>
    <w:rsid w:val="00817942"/>
    <w:rsid w:val="008218FB"/>
    <w:rsid w:val="00823027"/>
    <w:rsid w:val="008252AF"/>
    <w:rsid w:val="00825C82"/>
    <w:rsid w:val="0082788B"/>
    <w:rsid w:val="008307E7"/>
    <w:rsid w:val="00831CDD"/>
    <w:rsid w:val="00853C12"/>
    <w:rsid w:val="0085662B"/>
    <w:rsid w:val="0086659C"/>
    <w:rsid w:val="00870A79"/>
    <w:rsid w:val="0087489F"/>
    <w:rsid w:val="00877D71"/>
    <w:rsid w:val="00882C7E"/>
    <w:rsid w:val="00883F90"/>
    <w:rsid w:val="0088592F"/>
    <w:rsid w:val="00891257"/>
    <w:rsid w:val="008949EC"/>
    <w:rsid w:val="008977CC"/>
    <w:rsid w:val="008A3CE5"/>
    <w:rsid w:val="008C0E94"/>
    <w:rsid w:val="008C1704"/>
    <w:rsid w:val="008C1858"/>
    <w:rsid w:val="008C4802"/>
    <w:rsid w:val="008C6F50"/>
    <w:rsid w:val="008C78F1"/>
    <w:rsid w:val="008C7BD8"/>
    <w:rsid w:val="008D5907"/>
    <w:rsid w:val="008D5A5C"/>
    <w:rsid w:val="008D5FE2"/>
    <w:rsid w:val="008F2D4D"/>
    <w:rsid w:val="008F2F69"/>
    <w:rsid w:val="008F3014"/>
    <w:rsid w:val="008F360C"/>
    <w:rsid w:val="008F4DF7"/>
    <w:rsid w:val="009002C1"/>
    <w:rsid w:val="009013F9"/>
    <w:rsid w:val="00906198"/>
    <w:rsid w:val="00910EA1"/>
    <w:rsid w:val="00915B5E"/>
    <w:rsid w:val="00916CD0"/>
    <w:rsid w:val="00924EF4"/>
    <w:rsid w:val="00930702"/>
    <w:rsid w:val="00930B25"/>
    <w:rsid w:val="00931437"/>
    <w:rsid w:val="00931569"/>
    <w:rsid w:val="00936F57"/>
    <w:rsid w:val="00940F4F"/>
    <w:rsid w:val="0095165F"/>
    <w:rsid w:val="00953F35"/>
    <w:rsid w:val="00954638"/>
    <w:rsid w:val="009564E9"/>
    <w:rsid w:val="00956BB5"/>
    <w:rsid w:val="00965016"/>
    <w:rsid w:val="00965D35"/>
    <w:rsid w:val="0097012E"/>
    <w:rsid w:val="00970F44"/>
    <w:rsid w:val="00970F79"/>
    <w:rsid w:val="009733CE"/>
    <w:rsid w:val="00976D38"/>
    <w:rsid w:val="009776F6"/>
    <w:rsid w:val="00977EF3"/>
    <w:rsid w:val="0098180E"/>
    <w:rsid w:val="00984A99"/>
    <w:rsid w:val="00985C47"/>
    <w:rsid w:val="00987A77"/>
    <w:rsid w:val="0099350E"/>
    <w:rsid w:val="009968E7"/>
    <w:rsid w:val="009A0B77"/>
    <w:rsid w:val="009A491A"/>
    <w:rsid w:val="009A5A84"/>
    <w:rsid w:val="009A69F5"/>
    <w:rsid w:val="009A6B39"/>
    <w:rsid w:val="009A6D31"/>
    <w:rsid w:val="009B09AD"/>
    <w:rsid w:val="009B2370"/>
    <w:rsid w:val="009B42F0"/>
    <w:rsid w:val="009C0717"/>
    <w:rsid w:val="009C40E4"/>
    <w:rsid w:val="009D0BCC"/>
    <w:rsid w:val="009D0FB5"/>
    <w:rsid w:val="009D10E6"/>
    <w:rsid w:val="009D6D48"/>
    <w:rsid w:val="009E264C"/>
    <w:rsid w:val="009E6A5F"/>
    <w:rsid w:val="009F1118"/>
    <w:rsid w:val="009F193E"/>
    <w:rsid w:val="009F2264"/>
    <w:rsid w:val="009F3DA3"/>
    <w:rsid w:val="009F40AF"/>
    <w:rsid w:val="009F4F08"/>
    <w:rsid w:val="009F590A"/>
    <w:rsid w:val="009F6527"/>
    <w:rsid w:val="00A01EC2"/>
    <w:rsid w:val="00A02833"/>
    <w:rsid w:val="00A1146F"/>
    <w:rsid w:val="00A16ACB"/>
    <w:rsid w:val="00A2315B"/>
    <w:rsid w:val="00A2328D"/>
    <w:rsid w:val="00A235D2"/>
    <w:rsid w:val="00A23C5F"/>
    <w:rsid w:val="00A31730"/>
    <w:rsid w:val="00A32DF3"/>
    <w:rsid w:val="00A34125"/>
    <w:rsid w:val="00A34565"/>
    <w:rsid w:val="00A3776C"/>
    <w:rsid w:val="00A4163A"/>
    <w:rsid w:val="00A41AEC"/>
    <w:rsid w:val="00A41F2C"/>
    <w:rsid w:val="00A43A5B"/>
    <w:rsid w:val="00A476A4"/>
    <w:rsid w:val="00A51D9D"/>
    <w:rsid w:val="00A56FE7"/>
    <w:rsid w:val="00A6509C"/>
    <w:rsid w:val="00A70976"/>
    <w:rsid w:val="00A726C1"/>
    <w:rsid w:val="00A822F5"/>
    <w:rsid w:val="00A84468"/>
    <w:rsid w:val="00A85881"/>
    <w:rsid w:val="00A914F1"/>
    <w:rsid w:val="00A923B4"/>
    <w:rsid w:val="00AA18BD"/>
    <w:rsid w:val="00AA255D"/>
    <w:rsid w:val="00AA3CF3"/>
    <w:rsid w:val="00AA6894"/>
    <w:rsid w:val="00AB1D54"/>
    <w:rsid w:val="00AB22B0"/>
    <w:rsid w:val="00AB471C"/>
    <w:rsid w:val="00AB6FCD"/>
    <w:rsid w:val="00AC3046"/>
    <w:rsid w:val="00AC381B"/>
    <w:rsid w:val="00AD095A"/>
    <w:rsid w:val="00AD3653"/>
    <w:rsid w:val="00AD4A1E"/>
    <w:rsid w:val="00AD4EC5"/>
    <w:rsid w:val="00AD4F6A"/>
    <w:rsid w:val="00AD59EA"/>
    <w:rsid w:val="00AE1322"/>
    <w:rsid w:val="00AE231C"/>
    <w:rsid w:val="00AE38D3"/>
    <w:rsid w:val="00AE40E6"/>
    <w:rsid w:val="00AE54C5"/>
    <w:rsid w:val="00AF10AB"/>
    <w:rsid w:val="00AF1383"/>
    <w:rsid w:val="00AF26DD"/>
    <w:rsid w:val="00B00BDE"/>
    <w:rsid w:val="00B03263"/>
    <w:rsid w:val="00B03F79"/>
    <w:rsid w:val="00B0443A"/>
    <w:rsid w:val="00B05887"/>
    <w:rsid w:val="00B104C9"/>
    <w:rsid w:val="00B10E34"/>
    <w:rsid w:val="00B1510F"/>
    <w:rsid w:val="00B1643F"/>
    <w:rsid w:val="00B17EE0"/>
    <w:rsid w:val="00B23CA9"/>
    <w:rsid w:val="00B2586F"/>
    <w:rsid w:val="00B2731C"/>
    <w:rsid w:val="00B323A6"/>
    <w:rsid w:val="00B33C29"/>
    <w:rsid w:val="00B40ED6"/>
    <w:rsid w:val="00B435E8"/>
    <w:rsid w:val="00B45414"/>
    <w:rsid w:val="00B52098"/>
    <w:rsid w:val="00B6451F"/>
    <w:rsid w:val="00B661D8"/>
    <w:rsid w:val="00B6724E"/>
    <w:rsid w:val="00B70207"/>
    <w:rsid w:val="00B7123C"/>
    <w:rsid w:val="00B74E39"/>
    <w:rsid w:val="00B82A99"/>
    <w:rsid w:val="00B83341"/>
    <w:rsid w:val="00B839EE"/>
    <w:rsid w:val="00B90283"/>
    <w:rsid w:val="00B92D5A"/>
    <w:rsid w:val="00B963BA"/>
    <w:rsid w:val="00BA044D"/>
    <w:rsid w:val="00BA2042"/>
    <w:rsid w:val="00BA28BA"/>
    <w:rsid w:val="00BA2B03"/>
    <w:rsid w:val="00BA467F"/>
    <w:rsid w:val="00BA5056"/>
    <w:rsid w:val="00BA591A"/>
    <w:rsid w:val="00BB00C2"/>
    <w:rsid w:val="00BB3505"/>
    <w:rsid w:val="00BB70A0"/>
    <w:rsid w:val="00BC1AAD"/>
    <w:rsid w:val="00BC2ABA"/>
    <w:rsid w:val="00BC2D9B"/>
    <w:rsid w:val="00BC2E80"/>
    <w:rsid w:val="00BC36E8"/>
    <w:rsid w:val="00BC7BF9"/>
    <w:rsid w:val="00BC7CB6"/>
    <w:rsid w:val="00BD1BBF"/>
    <w:rsid w:val="00BE3442"/>
    <w:rsid w:val="00BE47E7"/>
    <w:rsid w:val="00BE48B4"/>
    <w:rsid w:val="00BE51F7"/>
    <w:rsid w:val="00BE5AA3"/>
    <w:rsid w:val="00BE7F3F"/>
    <w:rsid w:val="00BF04DC"/>
    <w:rsid w:val="00BF6CD5"/>
    <w:rsid w:val="00BF7327"/>
    <w:rsid w:val="00BF73EC"/>
    <w:rsid w:val="00C017CE"/>
    <w:rsid w:val="00C02EDB"/>
    <w:rsid w:val="00C03A2D"/>
    <w:rsid w:val="00C13EE7"/>
    <w:rsid w:val="00C150FE"/>
    <w:rsid w:val="00C22121"/>
    <w:rsid w:val="00C225F1"/>
    <w:rsid w:val="00C22FFA"/>
    <w:rsid w:val="00C26A20"/>
    <w:rsid w:val="00C326B5"/>
    <w:rsid w:val="00C36354"/>
    <w:rsid w:val="00C3684A"/>
    <w:rsid w:val="00C4033A"/>
    <w:rsid w:val="00C43DDF"/>
    <w:rsid w:val="00C43E86"/>
    <w:rsid w:val="00C52E41"/>
    <w:rsid w:val="00C568BD"/>
    <w:rsid w:val="00C56B30"/>
    <w:rsid w:val="00C625B2"/>
    <w:rsid w:val="00C6378B"/>
    <w:rsid w:val="00C6445D"/>
    <w:rsid w:val="00C65853"/>
    <w:rsid w:val="00C671DE"/>
    <w:rsid w:val="00C70B3B"/>
    <w:rsid w:val="00C70DAB"/>
    <w:rsid w:val="00C7729C"/>
    <w:rsid w:val="00C84C64"/>
    <w:rsid w:val="00C93AA2"/>
    <w:rsid w:val="00CA0A55"/>
    <w:rsid w:val="00CA1494"/>
    <w:rsid w:val="00CA2F58"/>
    <w:rsid w:val="00CA3642"/>
    <w:rsid w:val="00CA3A30"/>
    <w:rsid w:val="00CA58CE"/>
    <w:rsid w:val="00CB5C71"/>
    <w:rsid w:val="00CB6125"/>
    <w:rsid w:val="00CB759C"/>
    <w:rsid w:val="00CC0846"/>
    <w:rsid w:val="00CC086C"/>
    <w:rsid w:val="00CC354C"/>
    <w:rsid w:val="00CC61C5"/>
    <w:rsid w:val="00CC6CFF"/>
    <w:rsid w:val="00CD5E0E"/>
    <w:rsid w:val="00CE4E74"/>
    <w:rsid w:val="00CE6A85"/>
    <w:rsid w:val="00CF45AB"/>
    <w:rsid w:val="00CF762C"/>
    <w:rsid w:val="00D04867"/>
    <w:rsid w:val="00D05652"/>
    <w:rsid w:val="00D077E8"/>
    <w:rsid w:val="00D102BD"/>
    <w:rsid w:val="00D10355"/>
    <w:rsid w:val="00D1035A"/>
    <w:rsid w:val="00D14091"/>
    <w:rsid w:val="00D163E8"/>
    <w:rsid w:val="00D211D0"/>
    <w:rsid w:val="00D24980"/>
    <w:rsid w:val="00D24D90"/>
    <w:rsid w:val="00D25143"/>
    <w:rsid w:val="00D26A03"/>
    <w:rsid w:val="00D26FF4"/>
    <w:rsid w:val="00D329A4"/>
    <w:rsid w:val="00D41DA2"/>
    <w:rsid w:val="00D432B9"/>
    <w:rsid w:val="00D51964"/>
    <w:rsid w:val="00D62B86"/>
    <w:rsid w:val="00D62F91"/>
    <w:rsid w:val="00D6341C"/>
    <w:rsid w:val="00D63A33"/>
    <w:rsid w:val="00D63E50"/>
    <w:rsid w:val="00D6466C"/>
    <w:rsid w:val="00D664EE"/>
    <w:rsid w:val="00D6653E"/>
    <w:rsid w:val="00D7160D"/>
    <w:rsid w:val="00D747D8"/>
    <w:rsid w:val="00D762CE"/>
    <w:rsid w:val="00D8061A"/>
    <w:rsid w:val="00D867D4"/>
    <w:rsid w:val="00D90E21"/>
    <w:rsid w:val="00D912E5"/>
    <w:rsid w:val="00D9168B"/>
    <w:rsid w:val="00D929CC"/>
    <w:rsid w:val="00D94C67"/>
    <w:rsid w:val="00D95019"/>
    <w:rsid w:val="00D9650D"/>
    <w:rsid w:val="00D97C8E"/>
    <w:rsid w:val="00DA214F"/>
    <w:rsid w:val="00DA2AD6"/>
    <w:rsid w:val="00DA342C"/>
    <w:rsid w:val="00DA4A78"/>
    <w:rsid w:val="00DA59E3"/>
    <w:rsid w:val="00DA5E04"/>
    <w:rsid w:val="00DA6124"/>
    <w:rsid w:val="00DA7D1D"/>
    <w:rsid w:val="00DC17B3"/>
    <w:rsid w:val="00DC3710"/>
    <w:rsid w:val="00DC6934"/>
    <w:rsid w:val="00DD0113"/>
    <w:rsid w:val="00DD3981"/>
    <w:rsid w:val="00DD7FD7"/>
    <w:rsid w:val="00DE4476"/>
    <w:rsid w:val="00DE493A"/>
    <w:rsid w:val="00DE7304"/>
    <w:rsid w:val="00DE7C4B"/>
    <w:rsid w:val="00DF1717"/>
    <w:rsid w:val="00E017F3"/>
    <w:rsid w:val="00E1358A"/>
    <w:rsid w:val="00E1372C"/>
    <w:rsid w:val="00E13BE6"/>
    <w:rsid w:val="00E151E3"/>
    <w:rsid w:val="00E1717C"/>
    <w:rsid w:val="00E17724"/>
    <w:rsid w:val="00E210F7"/>
    <w:rsid w:val="00E24F64"/>
    <w:rsid w:val="00E25264"/>
    <w:rsid w:val="00E26E0A"/>
    <w:rsid w:val="00E27BF0"/>
    <w:rsid w:val="00E34595"/>
    <w:rsid w:val="00E3542E"/>
    <w:rsid w:val="00E37070"/>
    <w:rsid w:val="00E37EA8"/>
    <w:rsid w:val="00E408EA"/>
    <w:rsid w:val="00E40A41"/>
    <w:rsid w:val="00E4304B"/>
    <w:rsid w:val="00E44B33"/>
    <w:rsid w:val="00E50FB6"/>
    <w:rsid w:val="00E5111E"/>
    <w:rsid w:val="00E542FD"/>
    <w:rsid w:val="00E548EA"/>
    <w:rsid w:val="00E576F6"/>
    <w:rsid w:val="00E60BF4"/>
    <w:rsid w:val="00E62050"/>
    <w:rsid w:val="00E63D6A"/>
    <w:rsid w:val="00E641BF"/>
    <w:rsid w:val="00E6588E"/>
    <w:rsid w:val="00E65FE3"/>
    <w:rsid w:val="00E72855"/>
    <w:rsid w:val="00E72903"/>
    <w:rsid w:val="00E748E7"/>
    <w:rsid w:val="00E75961"/>
    <w:rsid w:val="00E77088"/>
    <w:rsid w:val="00E806F7"/>
    <w:rsid w:val="00E817EE"/>
    <w:rsid w:val="00E823B4"/>
    <w:rsid w:val="00EA0001"/>
    <w:rsid w:val="00EA10A3"/>
    <w:rsid w:val="00EA1D0F"/>
    <w:rsid w:val="00EA7A36"/>
    <w:rsid w:val="00EA7F98"/>
    <w:rsid w:val="00EB18CD"/>
    <w:rsid w:val="00EB3B49"/>
    <w:rsid w:val="00EB41C5"/>
    <w:rsid w:val="00EC306D"/>
    <w:rsid w:val="00EC39FC"/>
    <w:rsid w:val="00EC6062"/>
    <w:rsid w:val="00EC71EE"/>
    <w:rsid w:val="00EC7391"/>
    <w:rsid w:val="00EC77BC"/>
    <w:rsid w:val="00ED0CED"/>
    <w:rsid w:val="00ED3713"/>
    <w:rsid w:val="00ED418C"/>
    <w:rsid w:val="00ED5C24"/>
    <w:rsid w:val="00EE26D7"/>
    <w:rsid w:val="00EE5BF2"/>
    <w:rsid w:val="00EF0CCA"/>
    <w:rsid w:val="00EF1038"/>
    <w:rsid w:val="00EF3C90"/>
    <w:rsid w:val="00EF6784"/>
    <w:rsid w:val="00F011EA"/>
    <w:rsid w:val="00F06CDA"/>
    <w:rsid w:val="00F100B0"/>
    <w:rsid w:val="00F115D2"/>
    <w:rsid w:val="00F138D2"/>
    <w:rsid w:val="00F13B9C"/>
    <w:rsid w:val="00F14514"/>
    <w:rsid w:val="00F14BE1"/>
    <w:rsid w:val="00F15961"/>
    <w:rsid w:val="00F159CA"/>
    <w:rsid w:val="00F1601C"/>
    <w:rsid w:val="00F16787"/>
    <w:rsid w:val="00F17AA7"/>
    <w:rsid w:val="00F23588"/>
    <w:rsid w:val="00F25E50"/>
    <w:rsid w:val="00F313AA"/>
    <w:rsid w:val="00F33E56"/>
    <w:rsid w:val="00F371F0"/>
    <w:rsid w:val="00F431E2"/>
    <w:rsid w:val="00F45D99"/>
    <w:rsid w:val="00F500F9"/>
    <w:rsid w:val="00F53244"/>
    <w:rsid w:val="00F5341E"/>
    <w:rsid w:val="00F710CB"/>
    <w:rsid w:val="00F81E5E"/>
    <w:rsid w:val="00F827A5"/>
    <w:rsid w:val="00F86760"/>
    <w:rsid w:val="00F87E24"/>
    <w:rsid w:val="00F90377"/>
    <w:rsid w:val="00F92BD4"/>
    <w:rsid w:val="00F9320F"/>
    <w:rsid w:val="00F95098"/>
    <w:rsid w:val="00F95328"/>
    <w:rsid w:val="00F977CC"/>
    <w:rsid w:val="00FA439A"/>
    <w:rsid w:val="00FA4452"/>
    <w:rsid w:val="00FA6907"/>
    <w:rsid w:val="00FB58C4"/>
    <w:rsid w:val="00FB6904"/>
    <w:rsid w:val="00FB7466"/>
    <w:rsid w:val="00FB766D"/>
    <w:rsid w:val="00FC0551"/>
    <w:rsid w:val="00FC44BA"/>
    <w:rsid w:val="00FC567C"/>
    <w:rsid w:val="00FC583C"/>
    <w:rsid w:val="00FD148E"/>
    <w:rsid w:val="00FD380C"/>
    <w:rsid w:val="00FD564A"/>
    <w:rsid w:val="00FE15C4"/>
    <w:rsid w:val="00FE2613"/>
    <w:rsid w:val="00FF1059"/>
    <w:rsid w:val="00FF325E"/>
    <w:rsid w:val="00FF5EB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9E01F"/>
  <w15:chartTrackingRefBased/>
  <w15:docId w15:val="{516DAB13-F43E-4202-AB7A-9296F9E5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F69"/>
    <w:pPr>
      <w:spacing w:after="0" w:line="240" w:lineRule="auto"/>
    </w:pPr>
    <w:rPr>
      <w:rFonts w:ascii="Times New Roman" w:eastAsiaTheme="minorEastAsia" w:hAnsi="Times New Roman"/>
      <w:sz w:val="24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42E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056"/>
    <w:pPr>
      <w:keepNext/>
      <w:keepLines/>
      <w:spacing w:after="2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42E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et-EE"/>
    </w:rPr>
  </w:style>
  <w:style w:type="paragraph" w:styleId="BodyText">
    <w:name w:val="Body Text"/>
    <w:basedOn w:val="Normal"/>
    <w:link w:val="BodyTextChar"/>
    <w:rsid w:val="00E3542E"/>
    <w:pPr>
      <w:jc w:val="both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3542E"/>
    <w:rPr>
      <w:rFonts w:ascii="Times New Roman" w:eastAsia="Times New Roman" w:hAnsi="Times New Roman" w:cs="Times New Roman"/>
      <w:sz w:val="24"/>
      <w:szCs w:val="20"/>
      <w:lang w:eastAsia="et-EE"/>
    </w:rPr>
  </w:style>
  <w:style w:type="table" w:styleId="TableGrid">
    <w:name w:val="Table Grid"/>
    <w:basedOn w:val="TableNormal"/>
    <w:uiPriority w:val="59"/>
    <w:rsid w:val="00E3542E"/>
    <w:pPr>
      <w:spacing w:after="0" w:line="240" w:lineRule="auto"/>
    </w:pPr>
    <w:rPr>
      <w:rFonts w:eastAsiaTheme="minorEastAsia"/>
      <w:lang w:eastAsia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F5D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5D6B"/>
    <w:rPr>
      <w:rFonts w:ascii="Times New Roman" w:eastAsiaTheme="minorEastAsia" w:hAnsi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unhideWhenUsed/>
    <w:rsid w:val="006F5D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17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42"/>
    <w:rPr>
      <w:rFonts w:ascii="Segoe UI" w:eastAsiaTheme="minorEastAsia" w:hAnsi="Segoe UI" w:cs="Segoe UI"/>
      <w:sz w:val="18"/>
      <w:szCs w:val="18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rsid w:val="00BA5056"/>
    <w:rPr>
      <w:rFonts w:ascii="Times New Roman" w:eastAsiaTheme="majorEastAsia" w:hAnsi="Times New Roman" w:cstheme="majorBidi"/>
      <w:b/>
      <w:sz w:val="24"/>
      <w:szCs w:val="24"/>
      <w:lang w:eastAsia="et-EE"/>
    </w:rPr>
  </w:style>
  <w:style w:type="paragraph" w:styleId="Caption">
    <w:name w:val="caption"/>
    <w:basedOn w:val="Normal"/>
    <w:next w:val="Normal"/>
    <w:uiPriority w:val="35"/>
    <w:unhideWhenUsed/>
    <w:qFormat/>
    <w:rsid w:val="00033129"/>
    <w:pPr>
      <w:spacing w:after="200"/>
    </w:pPr>
    <w:rPr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B672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24E"/>
    <w:rPr>
      <w:rFonts w:ascii="Times New Roman" w:eastAsiaTheme="minorEastAsia" w:hAnsi="Times New Roman"/>
      <w:sz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B672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24E"/>
    <w:rPr>
      <w:rFonts w:ascii="Times New Roman" w:eastAsiaTheme="minorEastAsia" w:hAnsi="Times New Roman"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EBDD5A7405048BE4EC43E9E90371F" ma:contentTypeVersion="11" ma:contentTypeDescription="Loo uus dokument" ma:contentTypeScope="" ma:versionID="a0d40aa6e63b0f8b95b651192f18aeda">
  <xsd:schema xmlns:xsd="http://www.w3.org/2001/XMLSchema" xmlns:xs="http://www.w3.org/2001/XMLSchema" xmlns:p="http://schemas.microsoft.com/office/2006/metadata/properties" xmlns:ns3="06d5f388-e336-468e-8051-2da05f5b42bf" xmlns:ns4="d9333545-437b-42ec-9082-c64228282665" targetNamespace="http://schemas.microsoft.com/office/2006/metadata/properties" ma:root="true" ma:fieldsID="e5cc7ea0a0ea15457004ccf0020207e2" ns3:_="" ns4:_="">
    <xsd:import namespace="06d5f388-e336-468e-8051-2da05f5b42bf"/>
    <xsd:import namespace="d9333545-437b-42ec-9082-c64228282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5f388-e336-468e-8051-2da05f5b4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33545-437b-42ec-9082-c64228282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445B3-DE21-4813-A698-4834468E4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D089C-76CC-46FF-B956-11A49A4C2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5f388-e336-468e-8051-2da05f5b42bf"/>
    <ds:schemaRef ds:uri="d9333545-437b-42ec-9082-c6422828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92877-A335-4F78-A9BD-C46CBF4D6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B7355-B826-419C-BBBB-4F03F12BA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1745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Epp Kuslap</cp:lastModifiedBy>
  <cp:revision>51</cp:revision>
  <dcterms:created xsi:type="dcterms:W3CDTF">2021-06-09T12:26:00Z</dcterms:created>
  <dcterms:modified xsi:type="dcterms:W3CDTF">2021-08-17T09:10:00Z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0x010100E95EBDD5A7405048BE4EC43E9E90371F</vt:lpwstr>
  </property>
</Properties>
</file>